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D4A017"/>
          <w:spacing w:val="300"/>
          <w:sz w:val="22"/>
          <w:szCs w:val="22"/>
        </w:rPr>
        <w:t xml:space="preserve">CASE STUDY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0D1117"/>
          <w:sz w:val="56"/>
          <w:szCs w:val="56"/>
        </w:rPr>
        <w:t xml:space="preserve">EMA Gold Trader EA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1E6FBF"/>
          <w:sz w:val="28"/>
          <w:szCs w:val="28"/>
        </w:rPr>
        <w:t xml:space="preserve">Automated Expert Advisor for XAUUSD — MQL5 / MetaTrader 5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4A017" w:sz="1"/>
              <w:left w:val="none" w:color="FFFFFF" w:sz="0"/>
              <w:bottom w:val="single" w:color="D4A017" w:sz="1"/>
              <w:right w:val="none" w:color="FFFFFF" w:sz="0"/>
            </w:tcBorders>
            <w:shd w:fill="0D111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017"/>
                <w:sz w:val="48"/>
                <w:szCs w:val="48"/>
              </w:rPr>
              <w:t xml:space="preserve">+110.4%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return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E8ECF0"/>
                <w:sz w:val="16"/>
                <w:szCs w:val="16"/>
              </w:rPr>
              <w:t xml:space="preserve">$10K → $21,042</w:t>
            </w:r>
          </w:p>
        </w:tc>
        <w:tc>
          <w:tcPr>
            <w:tcW w:type="dxa" w:w="1872"/>
            <w:tcBorders>
              <w:top w:val="single" w:color="D4A017" w:sz="1"/>
              <w:left w:val="none" w:color="FFFFFF" w:sz="0"/>
              <w:bottom w:val="single" w:color="D4A017" w:sz="1"/>
              <w:right w:val="none" w:color="FFFFFF" w:sz="0"/>
            </w:tcBorders>
            <w:shd w:fill="0D111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017"/>
                <w:sz w:val="48"/>
                <w:szCs w:val="48"/>
              </w:rPr>
              <w:t xml:space="preserve">1.92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Profit factor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E8ECF0"/>
                <w:sz w:val="16"/>
                <w:szCs w:val="16"/>
              </w:rPr>
              <w:t xml:space="preserve">Gross P / Gross L</w:t>
            </w:r>
          </w:p>
        </w:tc>
        <w:tc>
          <w:tcPr>
            <w:tcW w:type="dxa" w:w="1872"/>
            <w:tcBorders>
              <w:top w:val="single" w:color="D4A017" w:sz="1"/>
              <w:left w:val="none" w:color="FFFFFF" w:sz="0"/>
              <w:bottom w:val="single" w:color="D4A017" w:sz="1"/>
              <w:right w:val="none" w:color="FFFFFF" w:sz="0"/>
            </w:tcBorders>
            <w:shd w:fill="0D111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017"/>
                <w:sz w:val="48"/>
                <w:szCs w:val="48"/>
              </w:rPr>
              <w:t xml:space="preserve">72.46%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E8ECF0"/>
                <w:sz w:val="16"/>
                <w:szCs w:val="16"/>
              </w:rPr>
              <w:t xml:space="preserve">471 / 650 trades</w:t>
            </w:r>
          </w:p>
        </w:tc>
        <w:tc>
          <w:tcPr>
            <w:tcW w:type="dxa" w:w="1872"/>
            <w:tcBorders>
              <w:top w:val="single" w:color="D4A017" w:sz="1"/>
              <w:left w:val="none" w:color="FFFFFF" w:sz="0"/>
              <w:bottom w:val="single" w:color="D4A017" w:sz="1"/>
              <w:right w:val="none" w:color="FFFFFF" w:sz="0"/>
            </w:tcBorders>
            <w:shd w:fill="0D111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017"/>
                <w:sz w:val="48"/>
                <w:szCs w:val="48"/>
              </w:rPr>
              <w:t xml:space="preserve">3.47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Sharpe ratio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E8ECF0"/>
                <w:sz w:val="16"/>
                <w:szCs w:val="16"/>
              </w:rPr>
              <w:t xml:space="preserve">Risk-adjusted return</w:t>
            </w:r>
          </w:p>
        </w:tc>
        <w:tc>
          <w:tcPr>
            <w:tcW w:type="dxa" w:w="1872"/>
            <w:tcBorders>
              <w:top w:val="single" w:color="D4A017" w:sz="1"/>
              <w:left w:val="none" w:color="FFFFFF" w:sz="0"/>
              <w:bottom w:val="single" w:color="D4A017" w:sz="1"/>
              <w:right w:val="none" w:color="FFFFFF" w:sz="0"/>
            </w:tcBorders>
            <w:shd w:fill="0D111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017"/>
                <w:sz w:val="48"/>
                <w:szCs w:val="48"/>
              </w:rPr>
              <w:t xml:space="preserve">9.57%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 drawdown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E8ECF0"/>
                <w:sz w:val="16"/>
                <w:szCs w:val="16"/>
              </w:rPr>
              <w:t xml:space="preserve">Equity drawdown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top w:val="single" w:color="E8ECF0" w:sz="1"/>
          <w:bottom w:val="single" w:color="E8ECF0" w:sz="1"/>
        </w:pBdr>
        <w:jc w:val="center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XAUUSD  ·  M1 Timeframe  ·  Jan 2025 – Mar 2026  ·  FTMO Account  ·  100% History Quality</w:t>
      </w:r>
    </w:p>
    <w:p>
      <w:r>
        <w:br w:type="page"/>
      </w:r>
    </w:p>
    <w:p>
      <w:pPr>
        <w:pBdr>
          <w:bottom w:val="single" w:color="D4A017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117"/>
          <w:sz w:val="36"/>
          <w:szCs w:val="36"/>
        </w:rPr>
        <w:t xml:space="preserve">1. Overview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EMA Gold Trader is a fully automated Expert Advisor developed in MQL5 for MetaTrader 5, designed exclusively for XAUUSD (Gold). The strategy is built on a proven technical principle — price closing above dual moving average confirmation — combined with institutional-grade risk controls that make it suitable for funded account programs (FTMO, MyForexFunds, etc.).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EA executes BUY-only trades on Gold when a candle closes above both an EMA and a DEMA on the same timeframe, filtering out low-quality entries through a spread filter, a daily loss limit, and a trailing stop mechanism for systematic profit protection.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017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017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01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Symbol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XAUUSD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Gold / US Dollar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Timeframe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H1 (configurable)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Entry on closed candle — no repainting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Strategy type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Trend following — BUY only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Aligned with Gold's long-term bullish bias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EMA period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Primary trend filter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DEMA period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Secondary confirmation filter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Max concurrent trades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Configurable — risk control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Trailing stop start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200 points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Activates after position profit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Trailing stop step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100 points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Progressive profit locking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Daily loss limit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$500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Hard stop — blocks trading until next day</w:t>
            </w:r>
          </w:p>
        </w:tc>
      </w:tr>
      <w:tr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Max spread filter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50 points</w:t>
            </w:r>
          </w:p>
        </w:tc>
        <w:tc>
          <w:tcPr>
            <w:tcW w:type="dxa" w:w="312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Rejects entries during high-spread events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4A017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117"/>
          <w:sz w:val="36"/>
          <w:szCs w:val="36"/>
        </w:rPr>
        <w:t xml:space="preserve">2. Strategy Logic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entry logic is deliberately simple and robust. Complexity in trading systems often introduces overfitting — this EA prioritizes rules that have held up across market regimes.</w:t>
      </w:r>
    </w:p>
    <w:p>
      <w:pPr>
        <w:spacing w:before="80" w:after="0"/>
      </w:pPr>
      <w:r>
        <w:t xml:space="preserve"/>
      </w:r>
    </w:p>
    <w:p>
      <w:pPr>
        <w:spacing w:before="360" w:after="160"/>
      </w:pPr>
      <w:r>
        <w:rPr>
          <w:rFonts w:ascii="Georgia" w:cs="Georgia" w:eastAsia="Georgia" w:hAnsi="Georgia"/>
          <w:b/>
          <w:bCs/>
          <w:color w:val="1E6FBF"/>
          <w:sz w:val="26"/>
          <w:szCs w:val="26"/>
        </w:rPr>
        <w:t xml:space="preserve">2.1 Entry Condition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 BUY order is placed when the previous closed candle satisfies both conditions simultaneously: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// Entry signal: candle closed above EMA AND above DEMA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if(closePrice &gt; emaValue &amp;&amp; closePrice &gt; dema)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OpenBuy();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5568"/>
          <w:sz w:val="22"/>
          <w:szCs w:val="22"/>
        </w:rPr>
        <w:t xml:space="preserve">EMA (50): Primary trend filter — price above EMA confirms bullish momentum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5568"/>
          <w:sz w:val="22"/>
          <w:szCs w:val="22"/>
        </w:rPr>
        <w:t xml:space="preserve">DEMA (50): Double EMA secondary confirmation — reduces false signals in ranging markets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5568"/>
          <w:sz w:val="22"/>
          <w:szCs w:val="22"/>
        </w:rPr>
        <w:t xml:space="preserve">Closed candle check: Entry is evaluated only on bar open, not intra-bar — eliminates repainting</w:t>
      </w:r>
    </w:p>
    <w:p>
      <w:pPr>
        <w:spacing w:before="80" w:after="0"/>
      </w:pPr>
      <w:r>
        <w:t xml:space="preserve"/>
      </w:r>
    </w:p>
    <w:p>
      <w:pPr>
        <w:spacing w:before="360" w:after="160"/>
      </w:pPr>
      <w:r>
        <w:rPr>
          <w:rFonts w:ascii="Georgia" w:cs="Georgia" w:eastAsia="Georgia" w:hAnsi="Georgia"/>
          <w:b/>
          <w:bCs/>
          <w:color w:val="1E6FBF"/>
          <w:sz w:val="26"/>
          <w:szCs w:val="26"/>
        </w:rPr>
        <w:t xml:space="preserve">2.2 Risk Management — Trailing Stop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trailing stop is the core profit protection mechanism. Once a position reaches the TrailStart threshold, the stop loss is moved progressively as price advances: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// Activate trailing stop once profit &gt; InpTrailStart points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double profitPoints = (bid - openPrice) / point;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if(profitPoints &lt;= InpTrailStart) continue;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// Move SL to bid - TrailStep, only if it improves current SL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double newSL = bid - InpTrailStep * point;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if(sl != 0 &amp;&amp; newSL &lt;= sl) continue;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request.action = TRADE_ACTION_SLTP;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request.sl = newSL;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60" w:after="160"/>
      </w:pPr>
      <w:r>
        <w:rPr>
          <w:rFonts w:ascii="Georgia" w:cs="Georgia" w:eastAsia="Georgia" w:hAnsi="Georgia"/>
          <w:b/>
          <w:bCs/>
          <w:color w:val="1E6FBF"/>
          <w:sz w:val="26"/>
          <w:szCs w:val="26"/>
        </w:rPr>
        <w:t xml:space="preserve">2.3 Daily Loss Limit — Funded Account Protection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Critical feature for FTMO and similar prop firm challenges. The EA tracks both closed P&amp;L and floating losses in real time. When the combined daily loss reaches the configured limit, all positions are closed and trading is blocked until the next session: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// Combined daily loss: closed + floating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double totalLoss = GetTodayClosedLoss() + GetFloatingLoss();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if(totalLoss &gt;= InpDailyLossLimit)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CloseAllPositions();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tradingBlockedToday = true;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60" w:after="160"/>
      </w:pPr>
      <w:r>
        <w:rPr>
          <w:rFonts w:ascii="Georgia" w:cs="Georgia" w:eastAsia="Georgia" w:hAnsi="Georgia"/>
          <w:b/>
          <w:bCs/>
          <w:color w:val="1E6FBF"/>
          <w:sz w:val="26"/>
          <w:szCs w:val="26"/>
        </w:rPr>
        <w:t xml:space="preserve">2.4 Spread Filter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EA refuses to enter during high-spread conditions (news events, market open/close). This protects against poor fills that disproportionately impact short-duration trades on Gold: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8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// Reject entry if spread exceeds InpMaxSpread points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double spread = (SymbolInfoDouble(InpSymbol, SYMBOL_ASK)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      - SymbolInfoDouble(InpSymbol, SYMBOL_BID))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              / SymbolInfoDouble(InpSymbol, SYMBOL_POINT);</w:t>
            </w:r>
          </w:p>
          <w:p>
            <w:r>
              <w:rPr>
                <w:rFonts w:ascii="Courier New" w:cs="Courier New" w:eastAsia="Courier New" w:hAnsi="Courier New"/>
                <w:color w:val="0D1117"/>
                <w:sz w:val="18"/>
                <w:szCs w:val="18"/>
              </w:rPr>
              <w:t xml:space="preserve">if(spread &gt; InpMaxSpread) return false;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4A017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117"/>
          <w:sz w:val="36"/>
          <w:szCs w:val="36"/>
        </w:rPr>
        <w:t xml:space="preserve">3. Backtest Results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Backtest period: January 1, 2025 – March 11, 2026 (14+ months). Platform: FTMO Server 4 (Build 5660). History quality: 100%. Initial deposit: $10,000 USD. Leverage: 1:100.</w:t>
      </w:r>
    </w:p>
    <w:p>
      <w:pPr>
        <w:spacing w:before="80" w:after="0"/>
      </w:pPr>
      <w:r>
        <w:t xml:space="preserve"/>
      </w:r>
    </w:p>
    <w:p>
      <w:pPr>
        <w:spacing w:before="360" w:after="160"/>
      </w:pPr>
      <w:r>
        <w:rPr>
          <w:rFonts w:ascii="Georgia" w:cs="Georgia" w:eastAsia="Georgia" w:hAnsi="Georgia"/>
          <w:b/>
          <w:bCs/>
          <w:color w:val="1E6FBF"/>
          <w:sz w:val="26"/>
          <w:szCs w:val="26"/>
        </w:rPr>
        <w:t xml:space="preserve">3.1 Summary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017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017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017"/>
                <w:sz w:val="20"/>
                <w:szCs w:val="20"/>
              </w:rPr>
              <w:t xml:space="preserve">Benchmark</w:t>
            </w:r>
          </w:p>
        </w:tc>
        <w:tc>
          <w:tcPr>
            <w:tcW w:type="dxa" w:w="23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017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Total Net Profit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$11,042.03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&gt; $0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 Strong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Total Return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+110.4%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&gt; 20%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 Excellent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1.92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&gt; 1.5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 Solid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3.47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&gt; 2.0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 Outstanding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Win Rate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72.46%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&gt; 50%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 Strong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Max Equity Drawdown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9.57%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&lt; 10%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 Within FTMO limit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Recovery Factor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6.09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&gt; 3.0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 Strong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LR Correlation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0.96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&gt; 0.9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 Consistent growth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Avg Profit Trade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$48.95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Avg Loss Trade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-$67.03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Total Trades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650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Info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360" w:after="160"/>
      </w:pPr>
      <w:r>
        <w:rPr>
          <w:rFonts w:ascii="Georgia" w:cs="Georgia" w:eastAsia="Georgia" w:hAnsi="Georgia"/>
          <w:b/>
          <w:bCs/>
          <w:color w:val="1E6FBF"/>
          <w:sz w:val="26"/>
          <w:szCs w:val="26"/>
        </w:rPr>
        <w:t xml:space="preserve">3.2 Monthly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017"/>
                <w:sz w:val="20"/>
                <w:szCs w:val="20"/>
              </w:rPr>
              <w:t xml:space="preserve">Month</w:t>
            </w:r>
          </w:p>
        </w:tc>
        <w:tc>
          <w:tcPr>
            <w:tcW w:type="dxa" w:w="1872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017"/>
                <w:sz w:val="20"/>
                <w:szCs w:val="20"/>
              </w:rPr>
              <w:t xml:space="preserve">Net P&amp;L</w:t>
            </w:r>
          </w:p>
        </w:tc>
        <w:tc>
          <w:tcPr>
            <w:tcW w:type="dxa" w:w="1872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017"/>
                <w:sz w:val="20"/>
                <w:szCs w:val="20"/>
              </w:rPr>
              <w:t xml:space="preserve">Trades</w:t>
            </w:r>
          </w:p>
        </w:tc>
        <w:tc>
          <w:tcPr>
            <w:tcW w:type="dxa" w:w="1872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017"/>
                <w:sz w:val="20"/>
                <w:szCs w:val="20"/>
              </w:rPr>
              <w:t xml:space="preserve">Win Rate</w:t>
            </w:r>
          </w:p>
        </w:tc>
        <w:tc>
          <w:tcPr>
            <w:tcW w:type="dxa" w:w="1872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017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Jan 2025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+$1,965.85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39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100.0%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Feb 2025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+$1,374.22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45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77.8%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Mar 2025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+$2,126.12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42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100.0%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Apr 2025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+$577.69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70.0%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May 2025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-$36.02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46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50.0%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Jun 2025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+$110.72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40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45.0%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Jul 2025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-$187.88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49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40.8%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Aug 2025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+$512.12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31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58.1%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Sep 2025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+$2,387.58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47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100.0%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Oct 2025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-$102.29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56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66.1%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Nov 2025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+$1,102.96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46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80.4%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Dec 2025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+$1,186.39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78.0%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Jan 2026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+$829.71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48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81.2%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Feb 2026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+$427.67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46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67.4%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Mar 2026*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+$234.33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73.3%</w:t>
            </w:r>
          </w:p>
        </w:tc>
        <w:tc>
          <w:tcPr>
            <w:tcW w:type="dxa" w:w="1872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*March 2026 partial — backtest to March 11. 11 of 15 months profitable. 3 drawdown months (May, Jul, Oct 2025) recovered fully within the same quarter.</w:t>
      </w:r>
    </w:p>
    <w:p>
      <w:pPr>
        <w:spacing w:before="160" w:after="0"/>
      </w:pPr>
      <w:r>
        <w:t xml:space="preserve"/>
      </w:r>
    </w:p>
    <w:p>
      <w:pPr>
        <w:pBdr>
          <w:bottom w:val="single" w:color="D4A017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117"/>
          <w:sz w:val="36"/>
          <w:szCs w:val="36"/>
        </w:rPr>
        <w:t xml:space="preserve">4. Prop Firm Compatibility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EA was designed with FTMO Challenge rules as the primary constraint. All key parameters map directly to funded account requirements: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017"/>
                <w:sz w:val="20"/>
                <w:szCs w:val="20"/>
              </w:rPr>
              <w:t xml:space="preserve">FTMO Rule</w:t>
            </w:r>
          </w:p>
        </w:tc>
        <w:tc>
          <w:tcPr>
            <w:tcW w:type="dxa" w:w="23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017"/>
                <w:sz w:val="20"/>
                <w:szCs w:val="20"/>
              </w:rPr>
              <w:t xml:space="preserve">Limit</w:t>
            </w:r>
          </w:p>
        </w:tc>
        <w:tc>
          <w:tcPr>
            <w:tcW w:type="dxa" w:w="23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017"/>
                <w:sz w:val="20"/>
                <w:szCs w:val="20"/>
              </w:rPr>
              <w:t xml:space="preserve">EA Configuration</w:t>
            </w:r>
          </w:p>
        </w:tc>
        <w:tc>
          <w:tcPr>
            <w:tcW w:type="dxa" w:w="23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4A017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Max daily loss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5% ($500 on $10K)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InpDailyLossLimit = $500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 Enforced in code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Max total loss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10% ($1,000 on $10K)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Max drawdown 9.57%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 Within limit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Profit target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10% ($1,000)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+$11,042 achieved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 Surpassed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Minimum trading days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4 days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14 months active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 Consistent</w:t>
            </w:r>
          </w:p>
        </w:tc>
      </w:tr>
      <w:tr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Spread execution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Real spreads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InpMaxSpread filter active</w:t>
            </w:r>
          </w:p>
        </w:tc>
        <w:tc>
          <w:tcPr>
            <w:tcW w:type="dxa" w:w="2340"/>
            <w:tcBorders>
              <w:top w:val="single" w:color="E8ECF0" w:sz="1"/>
              <w:left w:val="single" w:color="E8ECF0" w:sz="1"/>
              <w:bottom w:val="single" w:color="E8ECF0" w:sz="1"/>
              <w:right w:val="single" w:color="E8EC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✅ Protected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4A017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117"/>
          <w:sz w:val="36"/>
          <w:szCs w:val="36"/>
        </w:rPr>
        <w:t xml:space="preserve">5. Services Offered</w:t>
      </w:r>
    </w:p>
    <w:p>
      <w:pPr>
        <w:spacing w:before="80" w:after="8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Based on this EA, the following services are available for clients on Upwork and similar platforms:</w:t>
      </w:r>
    </w:p>
    <w:p>
      <w:pPr>
        <w:spacing w:before="80" w:after="0"/>
      </w:pPr>
      <w:r>
        <w:t xml:space="preserve"/>
      </w:r>
    </w:p>
    <w:p>
      <w:pPr>
        <w:spacing w:before="360" w:after="160"/>
      </w:pPr>
      <w:r>
        <w:rPr>
          <w:rFonts w:ascii="Georgia" w:cs="Georgia" w:eastAsia="Georgia" w:hAnsi="Georgia"/>
          <w:b/>
          <w:bCs/>
          <w:color w:val="1E6FBF"/>
          <w:sz w:val="26"/>
          <w:szCs w:val="26"/>
        </w:rPr>
        <w:t xml:space="preserve">Custom EA Development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5568"/>
          <w:sz w:val="22"/>
          <w:szCs w:val="22"/>
        </w:rPr>
        <w:t xml:space="preserve">Development of MQL5 Expert Advisors from strategy specification or concept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5568"/>
          <w:sz w:val="22"/>
          <w:szCs w:val="22"/>
        </w:rPr>
        <w:t xml:space="preserve">BUY/SELL logic, multi-timeframe analysis, indicator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5568"/>
          <w:sz w:val="22"/>
          <w:szCs w:val="22"/>
        </w:rPr>
        <w:t xml:space="preserve">Full risk management: daily loss limits, trailing stops, spread filters, drawdown 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5568"/>
          <w:sz w:val="22"/>
          <w:szCs w:val="22"/>
        </w:rPr>
        <w:t xml:space="preserve">Prop firm compliance (FTMO, MFF, Funded Engineer,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5568"/>
          <w:sz w:val="22"/>
          <w:szCs w:val="22"/>
        </w:rPr>
        <w:t xml:space="preserve">Delivery: .ex5 file + full source code + README + backtest report</w:t>
      </w:r>
    </w:p>
    <w:p>
      <w:pPr>
        <w:spacing w:before="80" w:after="0"/>
      </w:pPr>
      <w:r>
        <w:t xml:space="preserve"/>
      </w:r>
    </w:p>
    <w:p>
      <w:pPr>
        <w:spacing w:before="360" w:after="160"/>
      </w:pPr>
      <w:r>
        <w:rPr>
          <w:rFonts w:ascii="Georgia" w:cs="Georgia" w:eastAsia="Georgia" w:hAnsi="Georgia"/>
          <w:b/>
          <w:bCs/>
          <w:color w:val="1E6FBF"/>
          <w:sz w:val="26"/>
          <w:szCs w:val="26"/>
        </w:rPr>
        <w:t xml:space="preserve">Backtest Analysis &amp; Optimization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5568"/>
          <w:sz w:val="22"/>
          <w:szCs w:val="22"/>
        </w:rPr>
        <w:t xml:space="preserve">Strategy Tester report extraction and performance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5568"/>
          <w:sz w:val="22"/>
          <w:szCs w:val="22"/>
        </w:rPr>
        <w:t xml:space="preserve">Parameter optimization across timeframes and symbols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5568"/>
          <w:sz w:val="22"/>
          <w:szCs w:val="22"/>
        </w:rPr>
        <w:t xml:space="preserve">Walk-forward analysis and out-of-sample 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5568"/>
          <w:sz w:val="22"/>
          <w:szCs w:val="22"/>
        </w:rPr>
        <w:t xml:space="preserve">Comparison reports across multiple EA configurations</w:t>
      </w:r>
    </w:p>
    <w:p>
      <w:pPr>
        <w:spacing w:before="80" w:after="0"/>
      </w:pPr>
      <w:r>
        <w:t xml:space="preserve"/>
      </w:r>
    </w:p>
    <w:p>
      <w:pPr>
        <w:spacing w:before="360" w:after="160"/>
      </w:pPr>
      <w:r>
        <w:rPr>
          <w:rFonts w:ascii="Georgia" w:cs="Georgia" w:eastAsia="Georgia" w:hAnsi="Georgia"/>
          <w:b/>
          <w:bCs/>
          <w:color w:val="1E6FBF"/>
          <w:sz w:val="26"/>
          <w:szCs w:val="26"/>
        </w:rPr>
        <w:t xml:space="preserve">EA Review &amp; Debugging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5568"/>
          <w:sz w:val="22"/>
          <w:szCs w:val="22"/>
        </w:rPr>
        <w:t xml:space="preserve">Code audit of existing EAs — logic errors, execution issues, memory leaks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5568"/>
          <w:sz w:val="22"/>
          <w:szCs w:val="22"/>
        </w:rPr>
        <w:t xml:space="preserve">Performance diagnosis from Strategy Tester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color w:val="4A5568"/>
          <w:sz w:val="22"/>
          <w:szCs w:val="22"/>
        </w:rPr>
        <w:t xml:space="preserve">Conversion from MT4 (MQL4) to MT5 (MQL5)</w:t>
      </w:r>
    </w:p>
    <w:p>
      <w:pPr>
        <w:spacing w:before="160" w:after="0"/>
      </w:pPr>
      <w:r>
        <w:t xml:space="preserve"/>
      </w:r>
    </w:p>
    <w:p>
      <w:pPr>
        <w:pBdr>
          <w:bottom w:val="single" w:color="D4A017" w:sz="8" w:space="6"/>
        </w:pBdr>
        <w:spacing w:before="480" w:after="200"/>
      </w:pPr>
      <w:r>
        <w:rPr>
          <w:rFonts w:ascii="Georgia" w:cs="Georgia" w:eastAsia="Georgia" w:hAnsi="Georgia"/>
          <w:b/>
          <w:bCs/>
          <w:color w:val="0D1117"/>
          <w:sz w:val="36"/>
          <w:szCs w:val="36"/>
        </w:rPr>
        <w:t xml:space="preserve">6. Important Notes</w:t>
      </w:r>
    </w:p>
    <w:p>
      <w:pPr>
        <w:spacing w:before="120" w:after="80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Risk Disclosure</w:t>
      </w:r>
    </w:p>
    <w:p>
      <w:pPr>
        <w:spacing w:before="80" w:after="8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Past backtest performance does not guarantee future results. Backtests are conducted in controlled conditions and do not account for slippage variations, broker-specific execution, or real market liquidity. This document is provided for portfolio and educational purposes only.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Forward testing and live account validation are recommended before deploying any automated strategy with real capital.</w:t>
      </w:r>
    </w:p>
    <w:p>
      <w:pPr>
        <w:spacing w:before="160" w:after="0"/>
      </w:pPr>
      <w:r>
        <w:t xml:space="preserve"/>
      </w:r>
    </w:p>
    <w:p>
      <w:pPr>
        <w:pBdr>
          <w:top w:val="single" w:color="D4A017" w:sz="8" w:space="8"/>
        </w:pBdr>
        <w:spacing w:before="400" w:after="200"/>
        <w:jc w:val="center"/>
      </w:pPr>
      <w:r>
        <w:rPr>
          <w:rFonts w:ascii="Georgia" w:cs="Georgia" w:eastAsia="Georgia" w:hAnsi="Georgia"/>
          <w:i/>
          <w:iCs/>
          <w:color w:val="0D1117"/>
          <w:sz w:val="24"/>
          <w:szCs w:val="24"/>
        </w:rPr>
        <w:t xml:space="preserve">Strategy built on discipline, not prediction.</w:t>
      </w:r>
    </w:p>
    <w:p>
      <w:pPr>
        <w:jc w:val="center"/>
      </w:pPr>
      <w:r>
        <w:rPr>
          <w:rFonts w:ascii="Calibri" w:cs="Calibri" w:eastAsia="Calibri" w:hAnsi="Calibri"/>
          <w:color w:val="4A5568"/>
          <w:sz w:val="16"/>
          <w:szCs w:val="16"/>
        </w:rPr>
        <w:t xml:space="preserve">Portfolio Version  ·  XAUUSD  ·  MQL5  ·  2026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CF0" w:sz="4" w:space="4"/>
      </w:pBdr>
    </w:pPr>
    <w:r>
      <w:rPr>
        <w:rFonts w:ascii="Calibri" w:cs="Calibri" w:eastAsia="Calibri" w:hAnsi="Calibri"/>
        <w:color w:val="4A5568"/>
        <w:sz w:val="16"/>
        <w:szCs w:val="16"/>
      </w:rPr>
      <w:t xml:space="preserve">Portfolio Version  |  Backtest data: FTMO Server · XAUUSD M1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D4A017" w:sz="1"/>
            <w:right w:val="none" w:color="FFFFFF" w:sz="0"/>
          </w:tcBorders>
        </w:tcPr>
        <w:p>
          <w:r>
            <w:rPr>
              <w:rFonts w:ascii="Calibri" w:cs="Calibri" w:eastAsia="Calibri" w:hAnsi="Calibri"/>
              <w:b/>
              <w:bCs/>
              <w:color w:val="0D1117"/>
              <w:sz w:val="18"/>
              <w:szCs w:val="18"/>
            </w:rPr>
            <w:t xml:space="preserve">EMA Gold Trader EA  |  Case Study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single" w:color="D4A017" w:sz="1"/>
            <w:right w:val="none" w:color="FFFFFF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4A5568"/>
              <w:sz w:val="18"/>
              <w:szCs w:val="18"/>
            </w:rPr>
            <w:t xml:space="preserve">MQL5 · Algorithmic Trading · XAUUSD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2026-03-18T15:57:34.543Z</dcterms:created>
  <dcterms:modified xsi:type="dcterms:W3CDTF">2026-03-18T15:57:34.544Z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