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Comparison of Higher Institutions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Stott’s College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of Alumni Associations – Stott’s College vs. CIC Higher Education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490"/>
        <w:gridCol w:w="2385"/>
        <w:gridCol w:w="2745"/>
        <w:tblGridChange w:id="0">
          <w:tblGrid>
            <w:gridCol w:w="1755"/>
            <w:gridCol w:w="2490"/>
            <w:gridCol w:w="2385"/>
            <w:gridCol w:w="27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 to CIC</w:t>
            </w:r>
          </w:p>
        </w:tc>
      </w:tr>
      <w:tr>
        <w:trPr>
          <w:cantSplit w:val="0"/>
          <w:trHeight w:val="4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Stott’s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Minimal and informal engagement.</w:t>
              <w:br w:type="textWrapping"/>
              <w:t xml:space="preserve"> - Alumni contact limited to occasional newsletters and graduation updates.</w:t>
              <w:br w:type="textWrapping"/>
              <w:t xml:space="preserve"> - No structured alumni portal or regular events.</w:t>
              <w:br w:type="textWrapping"/>
              <w:t xml:space="preserve"> - Lacks dedicated staff or alumni coordination roles.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Weak post-graduation connection with the institution.</w:t>
              <w:br w:type="textWrapping"/>
              <w:t xml:space="preserve"> - Limited visibility of alumni achievements.</w:t>
              <w:br w:type="textWrapping"/>
              <w:t xml:space="preserve"> - Missed opportunities for mentoring or professional collaboration.</w:t>
              <w:br w:type="textWrapping"/>
              <w:t xml:space="preserve"> - Alumni engagement does not influence course development or brand.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Alumni engagement seen as peripheral to core functions.</w:t>
              <w:br w:type="textWrapping"/>
              <w:t xml:space="preserve"> - Most students (especially international) do not maintain contact after graduation.</w:t>
              <w:br w:type="textWrapping"/>
              <w:t xml:space="preserve"> - Alumni do not influence strategic direction.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95"/>
            <w:gridCol w:w="2910"/>
            <w:gridCol w:w="4155"/>
            <w:tblGridChange w:id="0">
              <w:tblGrid>
                <w:gridCol w:w="2295"/>
                <w:gridCol w:w="2910"/>
                <w:gridCol w:w="415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Institution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Strategy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Highlight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Academies Australasia Polytechnic (AAPoly)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Fosters engagement between the institution and graduates. It aims to maintain a strong connection with alumni, encouraging them to contribute ideas and participate in activities that enhance the AAPoly community.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Graduates are invited to join the AAPoly Alumni Association by contacting Student Services.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Memberships provides access of over 2,500 alumni through it's network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Offering career support services, which included career advice and assistance in securing full-time graduate employment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Hosts cocktail-style Alumni Networking Events (previous event was hold  in 2018)</w:t>
                </w:r>
              </w:p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4447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447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447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447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447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447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447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447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447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447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447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447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447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447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447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447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447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447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447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447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447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447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447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447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447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447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447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447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447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zmQ4SGsXFA8MXIbtu+HFQhKUQ==">CgMxLjAaHwoBMBIaChgICVIUChJ0YWJsZS5wZXg0ajZtbTEwYTA4AHIhMVFGZ0NyRTJRT0dzc0s3THgxaUw0ZnNsSnRJOWt3OFd3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2025-05-01T10:56:00Z</dcterms:created>
  <dc:creator>Kennedy Kipchumba</dc:creator>
</cp:coreProperties>
</file>