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Sam Ito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Program specialist focused on regulatory compliance and stakeholder communication.</w:t>
      </w:r>
    </w:p>
    <w:p>
      <w:pPr>
        <w:pStyle w:val="Heading1"/>
        <w:keepNext/>
      </w:pPr>
      <w:r>
        <w:t xml:space="preserve">Core Skills</w:t>
      </w:r>
    </w:p>
    <w:p>
      <w:r>
        <w:t xml:space="preserve">Compliance | Stakeholder Communication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Senior Regulatory Compliance and Environmental Health Documentation Program Specialist | Northwest Regional Water Quality Management District Authority | 2018–2026</w:t>
      </w:r>
    </w:p>
    <w:p>
      <w:pPr>
        <w:pStyle w:val="ListParagraph"/>
        <w:numPr>
          <w:ilvl w:val="0"/>
          <w:numId w:val="1"/>
        </w:numPr>
      </w:pPr>
      <w:r>
        <w:t xml:space="preserve">Maintained permit documentation for 60 municipal facilities</w:t>
      </w:r>
    </w:p>
    <w:p>
      <w:pPr>
        <w:pStyle w:val="Heading1"/>
        <w:keepNext/>
      </w:pPr>
      <w:r>
        <w:t xml:space="preserve">Selected Projects</w:t>
      </w:r>
    </w:p>
    <w:p>
      <w:pPr>
        <w:keepNext/>
        <w:spacing w:after="40" w:before="120"/>
      </w:pPr>
      <w:r>
        <w:rPr>
          <w:b/>
          <w:bCs/>
        </w:rPr>
        <w:t xml:space="preserve">Multi-County Stormwater Runoff Public Reporting Transparency Dashboard Initiative | Civic Data Collaborative of the Greater Willamette Valley | 2024</w:t>
      </w:r>
    </w:p>
    <w:p>
      <w:pPr>
        <w:pStyle w:val="ListParagraph"/>
        <w:numPr>
          <w:ilvl w:val="0"/>
          <w:numId w:val="1"/>
        </w:numPr>
      </w:pPr>
      <w:r>
        <w:t xml:space="preserve">Published quarterly runoff data for 11 counties in a public dashboard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2026-07-17T17:12:03.460Z</dcterms:created>
  <dcterms:modified xsi:type="dcterms:W3CDTF">2026-07-17T17:12:03.460Z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