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sz w:val="40"/>
          <w:szCs w:val="40"/>
        </w:rPr>
        <w:t xml:space="preserve">Website wording change log</w:t>
      </w:r>
    </w:p>
    <w:p>
      <w:pPr>
        <w:spacing w:after="120"/>
      </w:pPr>
      <w:r>
        <w:rPr>
          <w:rFonts w:ascii="Arial" w:cs="Arial" w:eastAsia="Arial" w:hAnsi="Arial"/>
          <w:color w:val="595959"/>
          <w:sz w:val="20"/>
          <w:szCs w:val="20"/>
        </w:rPr>
        <w:t xml:space="preserve">Koios Care website (www.koios.care) — correction of content under NC-46</w:t>
      </w:r>
    </w:p>
    <w:p>
      <w:pPr>
        <w:spacing w:after="120"/>
      </w:pPr>
      <w:r>
        <w:rPr>
          <w:rFonts w:ascii="Arial" w:cs="Arial" w:eastAsia="Arial" w:hAnsi="Arial"/>
          <w:sz w:val="20"/>
          <w:szCs w:val="20"/>
        </w:rPr>
        <w:t xml:space="preserve">Prepared 9 October 2026</w:t>
      </w:r>
    </w:p>
    <w:p>
      <w:pPr>
        <w:pStyle w:val="Heading1"/>
        <w:spacing w:after="140" w:before="280"/>
      </w:pPr>
      <w:r>
        <w:rPr>
          <w:rFonts w:ascii="Arial" w:cs="Arial" w:eastAsia="Arial" w:hAnsi="Arial"/>
        </w:rPr>
        <w:t xml:space="preserve">1. Purpose</w:t>
      </w:r>
    </w:p>
    <w:p>
      <w:pPr>
        <w:spacing w:after="120"/>
      </w:pPr>
      <w:r>
        <w:rPr>
          <w:rFonts w:ascii="Arial" w:cs="Arial" w:eastAsia="Arial" w:hAnsi="Arial"/>
          <w:sz w:val="20"/>
          <w:szCs w:val="20"/>
        </w:rPr>
        <w:t xml:space="preserve">The design verification of the website (GG DOC-296 v1, 8 October 2026) failed DDS.WEB.003, .004, .006, .007 and .009 of the Marketing Plan (GG DOC-121 v3), raised as NC-46. This log records every wording change made to the website so that its content is consistent with the intended purpose, the clinical benefit and the instructions for use of PARKIWATCH.</w:t>
      </w:r>
    </w:p>
    <w:p>
      <w:pPr>
        <w:spacing w:after="120"/>
      </w:pPr>
      <w:r>
        <w:rPr>
          <w:rFonts w:ascii="Arial" w:cs="Arial" w:eastAsia="Arial" w:hAnsi="Arial"/>
          <w:sz w:val="20"/>
          <w:szCs w:val="20"/>
        </w:rPr>
        <w:t xml:space="preserve">New wording about the device is taken from the PARKIWATCH Instructions for Use (patients: GG DOC-344; healthcare professionals: issue of 05/10/2026). Each row gives the location on the page, the previous wording and the new wording. “CMS seed” means the entry is held in the content management system rather than in the page itself.</w:t>
      </w:r>
    </w:p>
    <w:p>
      <w:pPr>
        <w:pStyle w:val="Heading1"/>
        <w:spacing w:after="140" w:before="280"/>
      </w:pPr>
      <w:r>
        <w:rPr>
          <w:rFonts w:ascii="Arial" w:cs="Arial" w:eastAsia="Arial" w:hAnsi="Arial"/>
        </w:rPr>
        <w:t xml:space="preserve">2. Status</w:t>
      </w:r>
    </w:p>
    <w:p>
      <w:pPr>
        <w:pStyle w:val="ListParagraph"/>
        <w:numPr>
          <w:ilvl w:val="0"/>
          <w:numId w:val="2"/>
        </w:numPr>
        <w:spacing w:after="80"/>
      </w:pPr>
      <w:r>
        <w:rPr>
          <w:rFonts w:ascii="Arial" w:cs="Arial" w:eastAsia="Arial" w:hAnsi="Arial"/>
          <w:sz w:val="20"/>
          <w:szCs w:val="20"/>
        </w:rPr>
        <w:t xml:space="preserve">The changes are made in the website source and the site builds successfully. They are not yet committed or deployed.</w:t>
      </w:r>
    </w:p>
    <w:p>
      <w:pPr>
        <w:pStyle w:val="ListParagraph"/>
        <w:numPr>
          <w:ilvl w:val="0"/>
          <w:numId w:val="2"/>
        </w:numPr>
        <w:spacing w:after="80"/>
      </w:pPr>
      <w:r>
        <w:rPr>
          <w:rFonts w:ascii="Arial" w:cs="Arial" w:eastAsia="Arial" w:hAnsi="Arial"/>
          <w:sz w:val="20"/>
          <w:szCs w:val="20"/>
        </w:rPr>
        <w:t xml:space="preserve">Rows marked “CMS seed” are corrected in the seed file only. The live content management system still holds the previous wording and overrides the page, so those rows are not yet effective on the site.</w:t>
      </w:r>
    </w:p>
    <w:p>
      <w:pPr>
        <w:pStyle w:val="ListParagraph"/>
        <w:numPr>
          <w:ilvl w:val="0"/>
          <w:numId w:val="2"/>
        </w:numPr>
        <w:spacing w:after="80"/>
      </w:pPr>
      <w:r>
        <w:rPr>
          <w:rFonts w:ascii="Arial" w:cs="Arial" w:eastAsia="Arial" w:hAnsi="Arial"/>
          <w:sz w:val="20"/>
          <w:szCs w:val="20"/>
        </w:rPr>
        <w:t xml:space="preserve">The pages have not yet been reviewed visually in a browser, including the two replaced illustrations.</w:t>
      </w:r>
    </w:p>
    <w:p>
      <w:pPr>
        <w:pStyle w:val="Heading1"/>
        <w:spacing w:after="140" w:before="280"/>
      </w:pPr>
      <w:r>
        <w:rPr>
          <w:rFonts w:ascii="Arial" w:cs="Arial" w:eastAsia="Arial" w:hAnsi="Arial"/>
        </w:rPr>
        <w:t xml:space="preserve">3. Changes by page</w:t>
      </w:r>
    </w:p>
    <w:p>
      <w:pPr>
        <w:pStyle w:val="Heading2"/>
        <w:spacing w:after="140" w:before="280"/>
      </w:pPr>
      <w:r>
        <w:rPr>
          <w:rFonts w:ascii="Arial" w:cs="Arial" w:eastAsia="Arial" w:hAnsi="Arial"/>
        </w:rPr>
        <w:t xml:space="preserve">For patients</w:t>
      </w:r>
    </w:p>
    <w:p>
      <w:pPr>
        <w:spacing w:after="120"/>
      </w:pPr>
      <w:r>
        <w:rPr>
          <w:rFonts w:ascii="Arial" w:cs="Arial" w:eastAsia="Arial" w:hAnsi="Arial"/>
          <w:color w:val="595959"/>
          <w:sz w:val="18"/>
          <w:szCs w:val="18"/>
        </w:rPr>
        <w:t xml:space="preserve">Source file: src/pages/patients.astro</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600"/>
        <w:gridCol w:w="5600"/>
      </w:tblGrid>
      <w:tr>
        <w:trPr>
          <w:tblHeader/>
        </w:trPr>
        <w:tc>
          <w:tcPr>
            <w:tcW w:type="dxa" w:w="8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Ref</w:t>
            </w:r>
          </w:p>
        </w:tc>
        <w:tc>
          <w:tcPr>
            <w:tcW w:type="dxa" w:w="24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Location</w:t>
            </w:r>
          </w:p>
        </w:tc>
        <w:tc>
          <w:tcPr>
            <w:tcW w:type="dxa" w:w="56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Previous wording</w:t>
            </w:r>
          </w:p>
        </w:tc>
        <w:tc>
          <w:tcPr>
            <w:tcW w:type="dxa" w:w="56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New wording</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P1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Disclaimer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Koios Care is a wellness solution. It is not a medical device and does not diagnose or treat disease.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Parkiwatch is a Class IIa Software as a Medical Device (EU MDR 2017/745) intended for the continuous, passive detection and quantitative assessment of kinematic patterns representative of tremor, bradykinesia and dyskinesia in adults with Parkinson’s Disease. It does not diagnose Parkinson’s Disease, does not recommend or change your medication, and does not replace the judgment of your healthcare professional.</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P2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Under the hero button, in the price card and under the closing button</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i/>
                <w:iCs/>
                <w:color w:val="7F7F7F"/>
                <w:sz w:val="18"/>
                <w:szCs w:val="18"/>
              </w:rPr>
              <w:t xml:space="preserve">(nothing)</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Parkiwatch is used under the supervision of your treating healthcare professional. It is intended for adults with Parkinson’s Disease who are being treated and followed by a licensed healthcare professional.</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P3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Phone mock-up, header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Today · Q-index — 72/100 — ↑ 6 points this month</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Today · kinematic measures</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P4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Phone mock-up, rows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Steadier mornings: Gait ↑ / Rest tremor: Stable / Sleep quality: 7.4 h</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Tremor / Bradykinesia / Dyskinesia (bars only, no values) — “Measured every 15 minutes”</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P5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Phone mock-up, caption</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i/>
                <w:iCs/>
                <w:color w:val="7F7F7F"/>
                <w:sz w:val="18"/>
                <w:szCs w:val="18"/>
              </w:rPr>
              <w:t xml:space="preserve">(nothing)</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Illustrative interface with sample data.</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P6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“How it works” heading</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Nothing to do differently.</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Little to do differently.</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P7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“How it works” lead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No tasks. No manual diary. No study device to charge. Parkiwatch works quietly in the background of the phone and watch you already own.</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No manual diary and no clinic-grade hardware. Parkiwatch works in the background of your phone and a compatible smartwatch.</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P8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Card “Wear what you wear”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Set up once. Your phone and smartwatch quietly capture movement, rest and rhythm — no change to your routine.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Set up once. Your phone and smartwatch capture movement in the background.</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P9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Card “See your validated kinematic measures”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Get a clear picture for how your quality of life is trending — with the patterns behind it in plain language.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Tremor, bradykinesia and dyskinesia, measured through the day in 15-minute intervals — in reports designed to be reviewed with your healthcare professional.</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P10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“What’s included” list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40+ digital measures of gait, tremor, sleep, activity and heart-rate physiology.</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Validated kinematic measures of tremor, bradykinesia and dyskinesia, alongside supportive digital health measures.</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P11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FAQ “Do I need a special device?” (page and CMS seed)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No. Parkiwatch runs on the smartphone and smartwatch you already own. There is no clinic-grade hardware to buy and no study wearable to charge or return.</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Parkiwatch runs on an Android smartphone together with a compatible third-party smartwatch or wrist-worn sensor. There is no clinic-grade hardware to buy. The compatibility page lists supported devices.</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P12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FAQ (page and CMS seed)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What is the Q-index? — The Q-index is a single, clear measure of how your quality of life is trending over time, built from 40+ digital measures. It is designed to be easy to read at a glance and to share with your care team.</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What does Parkiwatch measure? — Parkiwatch provides validated kinematic measures representative of tremor, bradykinesia and dyskinesia, alongside supportive digital health measures. Its reports are designed to be reviewed with your healthcare professional.</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P13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FAQ “Is there anything I have to do each day?” (CMS seed only)</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Nothing. There are no tasks, tests or diaries to fill in. Parkiwatch captures everyday movement and rest passively in the background, so your data reflects real life rather than a one-off snapshot.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Very little. Wear your smartwatch or wrist-worn sensor during your waking hours and Parkiwatch works in the background. If your healthcare professional selects it, you will be asked from time to time to complete a short questionnaire.</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P14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FAQ (CMS seed only)</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Is Koios a medical device? — No. Koios Care is a wellness solution. It does not diagnose or treat disease, and it does not replace your clinician’s judgement. It gives you and your care team a clearer, objective picture between visits.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Is Parkiwatch a medical device? — Yes. Parkiwatch is a Class IIa Software as a Medical Device under EU MDR 2017/745. It does not diagnose Parkinson’s Disease, does not recommend or change your medication, and does not replace the judgment of your healthcare professional. It is used under the supervision of your treating healthcare professional.</w:t>
            </w:r>
          </w:p>
        </w:tc>
      </w:tr>
    </w:tbl>
    <w:p>
      <w:pPr>
        <w:pStyle w:val="Heading2"/>
        <w:spacing w:after="140" w:before="280"/>
      </w:pPr>
      <w:r>
        <w:rPr>
          <w:rFonts w:ascii="Arial" w:cs="Arial" w:eastAsia="Arial" w:hAnsi="Arial"/>
        </w:rPr>
        <w:t xml:space="preserve">For clinicians</w:t>
      </w:r>
    </w:p>
    <w:p>
      <w:pPr>
        <w:spacing w:after="120"/>
      </w:pPr>
      <w:r>
        <w:rPr>
          <w:rFonts w:ascii="Arial" w:cs="Arial" w:eastAsia="Arial" w:hAnsi="Arial"/>
          <w:color w:val="595959"/>
          <w:sz w:val="18"/>
          <w:szCs w:val="18"/>
        </w:rPr>
        <w:t xml:space="preserve">Source file: src/pages/clinicians.astro</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600"/>
        <w:gridCol w:w="5600"/>
      </w:tblGrid>
      <w:tr>
        <w:trPr>
          <w:tblHeader/>
        </w:trPr>
        <w:tc>
          <w:tcPr>
            <w:tcW w:type="dxa" w:w="8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Ref</w:t>
            </w:r>
          </w:p>
        </w:tc>
        <w:tc>
          <w:tcPr>
            <w:tcW w:type="dxa" w:w="24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Location</w:t>
            </w:r>
          </w:p>
        </w:tc>
        <w:tc>
          <w:tcPr>
            <w:tcW w:type="dxa" w:w="56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Previous wording</w:t>
            </w:r>
          </w:p>
        </w:tc>
        <w:tc>
          <w:tcPr>
            <w:tcW w:type="dxa" w:w="56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New wording</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C1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Hero lead and meta description</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Remote monitoring that fits your workflow. Spot changes earlier and ground each conversation in real-world data — all from one dashboard, with no clinic-grade hardware to manage.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Remote monitoring that fits your workflow. Validated kinematic measures between clinic visits, to ground each conversation in real-world data — all from one dashboard, with no clinic-grade hardware to manage.</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C2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Feature card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Spot changes earlier — Continuous measures surface drift in gait, tremor and sleep weeks before it would show up in a clinic exam.</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Information between visits — Validated kinematic measures of tremor, bradykinesia and dyskinesia at a resolution of 15 minutes — between clinic visits that typically occur every 3–6 months.</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C3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Card “Ground the conversation”</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Start each appointment from objective data instead of recall — fewer surprises, better-targeted decisions.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Start each appointment from objective data alongside recall. This may support more informed decisions regarding the management and care plan of the patient — adjunctive to your clinical assessment and judgment.</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C4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Testimonial section</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“Koios helps me identify a patient’s pains quickly and offer better care.” — A.G. · Clinician</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i/>
                <w:iCs/>
                <w:color w:val="7F7F7F"/>
                <w:sz w:val="18"/>
                <w:szCs w:val="18"/>
              </w:rPr>
              <w:t xml:space="preserve">(removed)</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C5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Hospital card, label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Deployed across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Research sites · KC-QI-2023</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C6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Hospital card, text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Koios is in use with real patients across Belgian hospital networks.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These hospitals are research sites of the KC-QI-2023 study. Their listing does not indicate routine clinical use of Parkiwatch at these sites.</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C7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Dashboard illustration, tiles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Q-index (e.g. 74, +6) / Gait (e.g. +4%) / Sleep (e.g. 7.4h, +0.3h)</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Tremor — daily line / Bradykinesia — % of active hours by score band / Dyskinesia — % of active hours by score band (charts only, no values)</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C8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Dashboard illustration, notes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“Steady improvement across gait and sleep over the last 30 days.” / “Rest tremor trending up and sleep shortening — worth a closer look at the next visit.” / “Stable and high. No action needed; continue current scheme.” / “Marked decline in gait and sleep over two weeks — consider bringing the appointment forward.”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Validated kinematic measures · 15-minute resolution · PDF report available</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C9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Dashboard illustration, patient list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B. Vermeulen / D. Haesaert / L. Maes / R. Peeters, each with a Q-index line (e.g. “Q 74 · +6 / 30d”) and a green, amber or red status dot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Patient A to Patient D, each with age and “last 14 days”; no status dots</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C10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Dashboard illustration, caption</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Illustrative interface with sample data. Click a patient to switch views.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Illustrative interface with sample data. Click a patient to switch views. Outputs are adjunctive to, and must be interpreted within the context of, standard clinical assessment.</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C11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“Getting started”, step 3</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Review on the dashboard — trends, flags and a shareable summary for each appointment.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Review on the dashboard — validated kinematic measures and a PDF report for each appointment.</w:t>
            </w:r>
          </w:p>
        </w:tc>
      </w:tr>
    </w:tbl>
    <w:p>
      <w:pPr>
        <w:pStyle w:val="Heading2"/>
        <w:spacing w:after="140" w:before="280"/>
      </w:pPr>
      <w:r>
        <w:rPr>
          <w:rFonts w:ascii="Arial" w:cs="Arial" w:eastAsia="Arial" w:hAnsi="Arial"/>
        </w:rPr>
        <w:t xml:space="preserve">For pharma</w:t>
      </w:r>
    </w:p>
    <w:p>
      <w:pPr>
        <w:spacing w:after="120"/>
      </w:pPr>
      <w:r>
        <w:rPr>
          <w:rFonts w:ascii="Arial" w:cs="Arial" w:eastAsia="Arial" w:hAnsi="Arial"/>
          <w:color w:val="595959"/>
          <w:sz w:val="18"/>
          <w:szCs w:val="18"/>
        </w:rPr>
        <w:t xml:space="preserve">Source file: src/pages/pharma.astro</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600"/>
        <w:gridCol w:w="5600"/>
      </w:tblGrid>
      <w:tr>
        <w:trPr>
          <w:tblHeader/>
        </w:trPr>
        <w:tc>
          <w:tcPr>
            <w:tcW w:type="dxa" w:w="8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Ref</w:t>
            </w:r>
          </w:p>
        </w:tc>
        <w:tc>
          <w:tcPr>
            <w:tcW w:type="dxa" w:w="24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Location</w:t>
            </w:r>
          </w:p>
        </w:tc>
        <w:tc>
          <w:tcPr>
            <w:tcW w:type="dxa" w:w="56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Previous wording</w:t>
            </w:r>
          </w:p>
        </w:tc>
        <w:tc>
          <w:tcPr>
            <w:tcW w:type="dxa" w:w="56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New wording</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F1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Metric</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40+ digital measures, ready to use as exploratory endpoints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40+ research measures, available as exploratory endpoints</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F2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Under the metrics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i/>
                <w:iCs/>
                <w:color w:val="7F7F7F"/>
                <w:sz w:val="18"/>
                <w:szCs w:val="18"/>
              </w:rPr>
              <w:t xml:space="preserve">(nothing)</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The measures on this page are research measures for use in clinical studies. They are not part of the CE-marked PARKIWATCH medical device, whose intended purpose is limited to the validated kinematic measures of tremor, bradykinesia and dyskinesia.</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F3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Disclaimer under the measure library</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Measure availability and endpoint qualification depend on study design and regulatory context. Koios Care is a wellness solution and is not a medical device.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The measures on this page are research measures for use in clinical studies. They are not part of the CE-marked PARKIWATCH medical device, whose intended purpose is limited to the validated kinematic measures of tremor, bradykinesia and dyskinesia. Measure availability and endpoint qualification depend on study design and regulatory context.</w:t>
            </w:r>
          </w:p>
        </w:tc>
      </w:tr>
    </w:tbl>
    <w:p>
      <w:pPr>
        <w:pStyle w:val="Heading2"/>
        <w:spacing w:after="140" w:before="280"/>
      </w:pPr>
      <w:r>
        <w:rPr>
          <w:rFonts w:ascii="Arial" w:cs="Arial" w:eastAsia="Arial" w:hAnsi="Arial"/>
        </w:rPr>
        <w:t xml:space="preserve">Science</w:t>
      </w:r>
    </w:p>
    <w:p>
      <w:pPr>
        <w:spacing w:after="120"/>
      </w:pPr>
      <w:r>
        <w:rPr>
          <w:rFonts w:ascii="Arial" w:cs="Arial" w:eastAsia="Arial" w:hAnsi="Arial"/>
          <w:color w:val="595959"/>
          <w:sz w:val="18"/>
          <w:szCs w:val="18"/>
        </w:rPr>
        <w:t xml:space="preserve">Source file: src/pages/science.astro</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600"/>
        <w:gridCol w:w="5600"/>
      </w:tblGrid>
      <w:tr>
        <w:trPr>
          <w:tblHeader/>
        </w:trPr>
        <w:tc>
          <w:tcPr>
            <w:tcW w:type="dxa" w:w="8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Ref</w:t>
            </w:r>
          </w:p>
        </w:tc>
        <w:tc>
          <w:tcPr>
            <w:tcW w:type="dxa" w:w="24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Location</w:t>
            </w:r>
          </w:p>
        </w:tc>
        <w:tc>
          <w:tcPr>
            <w:tcW w:type="dxa" w:w="56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Previous wording</w:t>
            </w:r>
          </w:p>
        </w:tc>
        <w:tc>
          <w:tcPr>
            <w:tcW w:type="dxa" w:w="56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New wording</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S1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Hero lead and meta description</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Peer-reviewed publications and hospitals across Belgium using the platform with real patients. The evidence behind the Q-index, in the open.</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Peer-reviewed publications, and research conducted with hospitals across Belgium as sites of the KC-QI-2023 study. The evidence behind the measures, in the open.</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S2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Measures block, eyebrow and heading</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The Q-index — From raw sensor data to one clear measure.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The measures — From raw sensor data to validated kinematic measures.</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S3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Measures block, lead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The Q-index distils 40+ digital measures into a single, interpretable indicator of how quality of life is trending — designed to be read at a glance and shared with a care team.</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Parkiwatch applies validated signal processing and statistical learning algorithms to wrist accelerometer data, producing continuous, longitudinal kinematic measures for healthcare professionals.</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S4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Step 01 · Capture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Everyday phone and smartwatch sensors record movement, rest and heart-rate physiology continuously, with no tasks.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A smartwatch or wrist-worn sensor records triaxial accelerometer data during daily life.</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S5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Step 02 · Measure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Validated digital measures — Signal becomes 40+ measures of gait, tremor, sleep, activity and autonomic function, each validated against clinical references.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Validated kinematic measures — Signal becomes three validated kinematic measures — tremor, bradykinesia and dyskinesia — calculated alongside supportive digital health measures of typing, mealtime movement, sleep and activity.</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S6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Step 03</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Compose · The Q-index — Measures are combined into a single composite that tracks quality-of-life trend over time, robust to day-to-day noise.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Report · Dashboard &amp; PDF reports — Measures are made available to healthcare professionals at 15-minute resolution, to be interpreted within the context of standard clinical assessment.</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S7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New block below the steps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i/>
                <w:iCs/>
                <w:color w:val="7F7F7F"/>
                <w:sz w:val="18"/>
                <w:szCs w:val="18"/>
              </w:rPr>
              <w:t xml:space="preserve">(nothing)</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In research · not part of the CE-marked device — The Q-index. An exploratory composite of digital measures under investigation as an indicator of quality-of-life trend. It is a research measure and is not an output of the PARKIWATCH medical device.</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S8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Partners section, heading</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Built with clinicians and research institutions.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Research sites and backers.</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S9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Partners section, list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One unlabelled list: AZ Delta, AZ Groeninge, AZ Oostende, CHU Liège, CHU Charleroi, imec.istart, VLAIO</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Research sites · KC-QI-2023: AZ Delta, AZ Groeninge, AZ Oostende, CHU Liège, CHU Charleroi — “Their listing does not indicate routine clinical use of Parkiwatch at these sites.” / Backed by: imec.istart, VLAIO</w:t>
            </w:r>
          </w:p>
        </w:tc>
      </w:tr>
    </w:tbl>
    <w:p>
      <w:pPr>
        <w:pStyle w:val="Heading2"/>
        <w:spacing w:after="140" w:before="280"/>
      </w:pPr>
      <w:r>
        <w:rPr>
          <w:rFonts w:ascii="Arial" w:cs="Arial" w:eastAsia="Arial" w:hAnsi="Arial"/>
        </w:rPr>
        <w:t xml:space="preserve">About</w:t>
      </w:r>
    </w:p>
    <w:p>
      <w:pPr>
        <w:spacing w:after="120"/>
      </w:pPr>
      <w:r>
        <w:rPr>
          <w:rFonts w:ascii="Arial" w:cs="Arial" w:eastAsia="Arial" w:hAnsi="Arial"/>
          <w:color w:val="595959"/>
          <w:sz w:val="18"/>
          <w:szCs w:val="18"/>
        </w:rPr>
        <w:t xml:space="preserve">Source file: src/pages/about.astro</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600"/>
        <w:gridCol w:w="5600"/>
      </w:tblGrid>
      <w:tr>
        <w:trPr>
          <w:tblHeader/>
        </w:trPr>
        <w:tc>
          <w:tcPr>
            <w:tcW w:type="dxa" w:w="8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Ref</w:t>
            </w:r>
          </w:p>
        </w:tc>
        <w:tc>
          <w:tcPr>
            <w:tcW w:type="dxa" w:w="24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Location</w:t>
            </w:r>
          </w:p>
        </w:tc>
        <w:tc>
          <w:tcPr>
            <w:tcW w:type="dxa" w:w="56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Previous wording</w:t>
            </w:r>
          </w:p>
        </w:tc>
        <w:tc>
          <w:tcPr>
            <w:tcW w:type="dxa" w:w="56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New wording</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A1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“Why we exist”, paragraph 2</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We turn everyday movement and rest into objective, validated measures of life with Parkinson’s — so patients feel more in control, clinicians see earlier, and researchers gain real-world evidence.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We turn everyday movement into objective, validated kinematic measures of tremor, bradykinesia and dyskinesia — giving patients and their healthcare professionals information between clinic visits, and researchers real-world evidence.</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A2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“Why we exist”, paragraph 3</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We do it with no extra hardware and no daily tasks, because the best measurement is the one that fits invisibly into a life.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We do it with no clinic-grade hardware and little daily effort, because the best measurement is the one that fits quietly into a life.</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A3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Principle 02 “Invisible by design”</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The best measurement asks nothing of the patient. No tasks, no diaries, no devices to charge.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The best measurement asks little of the patient. Passive capture in the background, with no manual diary.</w:t>
            </w:r>
          </w:p>
        </w:tc>
      </w:tr>
    </w:tbl>
    <w:p>
      <w:pPr>
        <w:pStyle w:val="Heading2"/>
        <w:spacing w:after="140" w:before="280"/>
      </w:pPr>
      <w:r>
        <w:rPr>
          <w:rFonts w:ascii="Arial" w:cs="Arial" w:eastAsia="Arial" w:hAnsi="Arial"/>
        </w:rPr>
        <w:t xml:space="preserve">Home</w:t>
      </w:r>
    </w:p>
    <w:p>
      <w:pPr>
        <w:spacing w:after="120"/>
      </w:pPr>
      <w:r>
        <w:rPr>
          <w:rFonts w:ascii="Arial" w:cs="Arial" w:eastAsia="Arial" w:hAnsi="Arial"/>
          <w:color w:val="595959"/>
          <w:sz w:val="18"/>
          <w:szCs w:val="18"/>
        </w:rPr>
        <w:t xml:space="preserve">Source file: src/pages/index.astro</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600"/>
        <w:gridCol w:w="5600"/>
      </w:tblGrid>
      <w:tr>
        <w:trPr>
          <w:tblHeader/>
        </w:trPr>
        <w:tc>
          <w:tcPr>
            <w:tcW w:type="dxa" w:w="8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Ref</w:t>
            </w:r>
          </w:p>
        </w:tc>
        <w:tc>
          <w:tcPr>
            <w:tcW w:type="dxa" w:w="24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Location</w:t>
            </w:r>
          </w:p>
        </w:tc>
        <w:tc>
          <w:tcPr>
            <w:tcW w:type="dxa" w:w="56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Previous wording</w:t>
            </w:r>
          </w:p>
        </w:tc>
        <w:tc>
          <w:tcPr>
            <w:tcW w:type="dxa" w:w="5600"/>
            <w:tcBorders>
              <w:top w:val="single" w:color="BFBFBF" w:sz="4"/>
              <w:left w:val="single" w:color="BFBFBF" w:sz="4"/>
              <w:bottom w:val="single" w:color="BFBFBF" w:sz="4"/>
              <w:right w:val="single" w:color="BFBFBF" w:sz="4"/>
            </w:tcBorders>
            <w:shd w:fill="E7E6E6" w:color="auto" w:val="clear"/>
            <w:tcMar>
              <w:top w:type="dxa" w:w="70"/>
              <w:left w:type="dxa" w:w="100"/>
              <w:bottom w:type="dxa" w:w="70"/>
              <w:right w:type="dxa" w:w="100"/>
            </w:tcMar>
            <w:vAlign w:val="top"/>
          </w:tcPr>
          <w:p>
            <w:r>
              <w:rPr>
                <w:rFonts w:ascii="Arial" w:cs="Arial" w:eastAsia="Arial" w:hAnsi="Arial"/>
                <w:b/>
                <w:bCs/>
                <w:sz w:val="18"/>
                <w:szCs w:val="18"/>
              </w:rPr>
              <w:t xml:space="preserve">New wording</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H1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Disclaimer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Koios Care is a wellness solution. It is not a medical device and does not diagnose or treat disease.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Parkiwatch is a Class IIa Software as a Medical Device (EU MDR 2017/745) intended for the continuous, passive detection and quantitative assessment of kinematic patterns representative of tremor, bradykinesia and dyskinesia in adults with Parkinson’s Disease. It does not diagnose Parkinson’s Disease, does not recommend or change your medication, and does not replace the judgment of your healthcare professional.</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H2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Quote (page and CMS seed)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“Koios helps me identify a patient’s pains quickly and offer better care.” — A.G. · Clinician</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i/>
                <w:iCs/>
                <w:color w:val="7F7F7F"/>
                <w:sz w:val="18"/>
                <w:szCs w:val="18"/>
              </w:rPr>
              <w:t xml:space="preserve">(removed)</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H3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Stat (page and CMS seed)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96% of patients’ days captured passively, with no added effort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96% of patients’ days captured passively</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H4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Stat (page and CMS seed)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40+ digital measures of neurological &amp; body health (CMS seed: “validated digital measures…”)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3 validated kinematic measures: tremor, bradykinesia, dyskinesia</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H5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Stat (page and CMS seed)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8 hospital &amp; research partners across Belgium</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5 hospital research sites in the KC-QI-2023 study</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H6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Stat (CMS seed only)</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57% reported improvement in health-related quality of life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i/>
                <w:iCs/>
                <w:color w:val="7F7F7F"/>
                <w:sz w:val="18"/>
                <w:szCs w:val="18"/>
              </w:rPr>
              <w:t xml:space="preserve">(removed)</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H7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“How Koios works”, step 2</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Gait, tremor, sleep, activity and heart-rate physiology become 40+ digital measures of neuro, brain and body health.</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Wrist movement becomes three validated kinematic measures — tremor, bradykinesia and dyskinesia — alongside supportive digital health measures.</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H8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“How Koios works”, step 3</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Track quality of life with the Q-index — One clear index shows how quality of life changes over time. Patients can share it with their care team to help guide treatment.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Share with your healthcare professional — Measures reach your healthcare professional via a dashboard and PDF reports, between clinic visits.</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H9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“For clinicians” door card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Remote monitoring that fits your workflow. Spot changes earlier and ground each conversation in real-world data — all from one dashboard.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Remote monitoring that fits your workflow. Validated kinematic measures between clinic visits, to ground each conversation in real-world data — all from one dashboard.</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H10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Science strip, lead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Peer-reviewed publications and hospitals across Belgium using the platform with real patients.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Peer-reviewed publications, and research conducted with hospitals across Belgium as sites of the KC-QI-2023 study.</w:t>
            </w:r>
          </w:p>
        </w:tc>
      </w:tr>
      <w:tr>
        <w:trPr>
          <w:cantSplit/>
        </w:trPr>
        <w:tc>
          <w:tcPr>
            <w:tcW w:type="dxa" w:w="8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b/>
                <w:bCs/>
                <w:sz w:val="18"/>
                <w:szCs w:val="18"/>
              </w:rPr>
              <w:t xml:space="preserve">H11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Science strip, partner list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One unlabelled list of hospitals and backers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r>
              <w:rPr>
                <w:rFonts w:ascii="Arial" w:cs="Arial" w:eastAsia="Arial" w:hAnsi="Arial"/>
                <w:sz w:val="18"/>
                <w:szCs w:val="18"/>
              </w:rPr>
              <w:t xml:space="preserve">Split and labelled as on the Science page (S9)</w:t>
            </w:r>
          </w:p>
        </w:tc>
      </w:tr>
    </w:tbl>
    <w:p>
      <w:pPr>
        <w:pStyle w:val="Heading1"/>
        <w:spacing w:after="140" w:before="280"/>
      </w:pPr>
      <w:r>
        <w:rPr>
          <w:rFonts w:ascii="Arial" w:cs="Arial" w:eastAsia="Arial" w:hAnsi="Arial"/>
        </w:rPr>
        <w:t xml:space="preserve">4. Open points</w:t>
      </w:r>
    </w:p>
    <w:p>
      <w:pPr>
        <w:pStyle w:val="ListParagraph"/>
        <w:numPr>
          <w:ilvl w:val="0"/>
          <w:numId w:val="2"/>
        </w:numPr>
        <w:spacing w:after="80"/>
      </w:pPr>
      <w:r>
        <w:rPr>
          <w:rFonts w:ascii="Arial" w:cs="Arial" w:eastAsia="Arial" w:hAnsi="Arial"/>
          <w:sz w:val="20"/>
          <w:szCs w:val="20"/>
        </w:rPr>
        <w:t xml:space="preserve">Live content management system: the clinician testimonial (H2) and the previous FAQ entries (P11 to P14) are still served on the live site until the corresponding entries are updated. The same applies to any statistics held there (H3 to H6).</w:t>
      </w:r>
    </w:p>
    <w:p>
      <w:pPr>
        <w:pStyle w:val="ListParagraph"/>
        <w:numPr>
          <w:ilvl w:val="0"/>
          <w:numId w:val="2"/>
        </w:numPr>
        <w:spacing w:after="80"/>
      </w:pPr>
      <w:r>
        <w:rPr>
          <w:rFonts w:ascii="Arial" w:cs="Arial" w:eastAsia="Arial" w:hAnsi="Arial"/>
          <w:sz w:val="20"/>
          <w:szCs w:val="20"/>
        </w:rPr>
        <w:t xml:space="preserve">Terms of Use page (/tos): still describes the product as a “wellness device” that is “not a medical device”, including Article 3. This is legal text and was not changed; it needs a decision from the owner of the terms.</w:t>
      </w:r>
    </w:p>
    <w:p>
      <w:pPr>
        <w:pStyle w:val="ListParagraph"/>
        <w:numPr>
          <w:ilvl w:val="0"/>
          <w:numId w:val="2"/>
        </w:numPr>
        <w:spacing w:after="80"/>
      </w:pPr>
      <w:r>
        <w:rPr>
          <w:rFonts w:ascii="Arial" w:cs="Arial" w:eastAsia="Arial" w:hAnsi="Arial"/>
          <w:sz w:val="20"/>
          <w:szCs w:val="20"/>
        </w:rPr>
        <w:t xml:space="preserve">“No tasks” wording remains on the Home page (step 1), the For clinicians page (“Getting started”, step 2) and the For pharma page. It was left unchanged by decision; only the For patients and About pages were qualified.</w:t>
      </w:r>
    </w:p>
    <w:p>
      <w:pPr>
        <w:pStyle w:val="ListParagraph"/>
        <w:numPr>
          <w:ilvl w:val="0"/>
          <w:numId w:val="2"/>
        </w:numPr>
        <w:spacing w:after="80"/>
      </w:pPr>
      <w:r>
        <w:rPr>
          <w:rFonts w:ascii="Arial" w:cs="Arial" w:eastAsia="Arial" w:hAnsi="Arial"/>
          <w:sz w:val="20"/>
          <w:szCs w:val="20"/>
        </w:rPr>
        <w:t xml:space="preserve">“Devices you already own” remains in the price card and closing section of the For patients page, although the Instructions for Use require an Android smartphone and a compatible wrist-worn sensor.</w:t>
      </w:r>
    </w:p>
    <w:p>
      <w:pPr>
        <w:pStyle w:val="ListParagraph"/>
        <w:numPr>
          <w:ilvl w:val="0"/>
          <w:numId w:val="2"/>
        </w:numPr>
        <w:spacing w:after="80"/>
      </w:pPr>
      <w:r>
        <w:rPr>
          <w:rFonts w:ascii="Arial" w:cs="Arial" w:eastAsia="Arial" w:hAnsi="Arial"/>
          <w:sz w:val="20"/>
          <w:szCs w:val="20"/>
        </w:rPr>
        <w:t xml:space="preserve">H5: the figure of 5 hospital research sites is taken from the five hospitals listed on the site and should be confirmed against the KC-QI-2023 study records.</w:t>
      </w:r>
    </w:p>
    <w:sectPr>
      <w:footerReference w:type="default" r:id="rId6"/>
      <w:pgSz w:w="16838" w:h="11906" w:orient="landscape"/>
      <w:pgMar w:top="1000" w:right="1200" w:bottom="10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7F7F7F"/>
        <w:sz w:val="16"/>
        <w:szCs w:val="16"/>
      </w:rPr>
      <w:t xml:space="preserve">Website wording change log · NC-46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5B112F"/>
      <w:sz w:val="28"/>
      <w:szCs w:val="28"/>
    </w:rPr>
  </w:style>
  <w:style w:type="paragraph" w:styleId="Heading2">
    <w:name w:val="Heading 2"/>
    <w:basedOn w:val="Normal"/>
    <w:next w:val="Normal"/>
    <w:qFormat/>
    <w:pPr>
      <w:keepNext/>
      <w:outlineLvl w:val="1"/>
    </w:pPr>
    <w:rPr>
      <w:rFonts w:ascii="Arial" w:cs="Arial" w:eastAsia="Arial" w:hAnsi="Arial"/>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2026-10-09T10:42:36.000Z</dcterms:created>
  <dcterms:modified xsi:type="dcterms:W3CDTF">2026-10-09T10:42:36.001Z</dcterms:modified>
</cp:coreProperties>
</file>

<file path=docProps/custom.xml><?xml version="1.0" encoding="utf-8"?>
<Properties xmlns="http://schemas.openxmlformats.org/officeDocument/2006/custom-properties" xmlns:vt="http://schemas.openxmlformats.org/officeDocument/2006/docPropsVTypes"/>
</file>