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sz w:val="40"/>
          <w:szCs w:val="40"/>
        </w:rPr>
        <w:t xml:space="preserve">Website wording change log</w:t>
      </w:r>
    </w:p>
    <w:p>
      <w:pPr>
        <w:spacing w:after="120"/>
      </w:pPr>
      <w:r>
        <w:rPr>
          <w:rFonts w:ascii="Arial" w:cs="Arial" w:eastAsia="Arial" w:hAnsi="Arial"/>
          <w:color w:val="595959"/>
          <w:sz w:val="20"/>
          <w:szCs w:val="20"/>
        </w:rPr>
        <w:t xml:space="preserve">Koios Care website (www.koios.care) — correction of content under NC-46</w:t>
      </w:r>
    </w:p>
    <w:p>
      <w:pPr>
        <w:spacing w:after="120"/>
      </w:pPr>
      <w:r>
        <w:rPr>
          <w:rFonts w:ascii="Arial" w:cs="Arial" w:eastAsia="Arial" w:hAnsi="Arial"/>
          <w:sz w:val="20"/>
          <w:szCs w:val="20"/>
        </w:rPr>
        <w:t xml:space="preserve">Prepared 9 October 2026 · updated 11 October 2026</w:t>
      </w:r>
    </w:p>
    <w:p>
      <w:pPr>
        <w:pStyle w:val="Heading1"/>
        <w:spacing w:after="140" w:before="280"/>
      </w:pPr>
      <w:r>
        <w:rPr>
          <w:rFonts w:ascii="Arial" w:cs="Arial" w:eastAsia="Arial" w:hAnsi="Arial"/>
        </w:rPr>
        <w:t xml:space="preserve">1. Purpose</w:t>
      </w:r>
    </w:p>
    <w:p>
      <w:pPr>
        <w:spacing w:after="120"/>
      </w:pPr>
      <w:r>
        <w:rPr>
          <w:rFonts w:ascii="Arial" w:cs="Arial" w:eastAsia="Arial" w:hAnsi="Arial"/>
          <w:sz w:val="20"/>
          <w:szCs w:val="20"/>
        </w:rPr>
        <w:t xml:space="preserve">The design verification of the website (GG DOC-296 v1, 8 October 2026) failed DDS.WEB.003, .004, .006, .007 and .009 of the Marketing Plan (GG DOC-121 v3), raised as NC-46. This log records every wording change made to the website so that its content is consistent with the intended purpose, the clinical benefit and the instructions for use of PARKIWATCH.</w:t>
      </w:r>
    </w:p>
    <w:p>
      <w:pPr>
        <w:spacing w:after="120"/>
      </w:pPr>
      <w:r>
        <w:rPr>
          <w:rFonts w:ascii="Arial" w:cs="Arial" w:eastAsia="Arial" w:hAnsi="Arial"/>
          <w:sz w:val="20"/>
          <w:szCs w:val="20"/>
        </w:rPr>
        <w:t xml:space="preserve">New wording about the device is taken from the PARKIWATCH Instructions for Use (patients: GG DOC-344; healthcare professionals: issue of 05/10/2026). Each row gives the location on the page, the previous wording and the new wording. “CMS seed” means the entry is held in the content management system rather than in the page itself.</w:t>
      </w:r>
    </w:p>
    <w:p>
      <w:pPr>
        <w:pStyle w:val="Heading1"/>
        <w:spacing w:after="140" w:before="280"/>
      </w:pPr>
      <w:r>
        <w:rPr>
          <w:rFonts w:ascii="Arial" w:cs="Arial" w:eastAsia="Arial" w:hAnsi="Arial"/>
        </w:rPr>
        <w:t xml:space="preserve">2. Status</w:t>
      </w:r>
    </w:p>
    <w:p>
      <w:pPr>
        <w:pStyle w:val="ListParagraph"/>
        <w:numPr>
          <w:ilvl w:val="0"/>
          <w:numId w:val="2"/>
        </w:numPr>
        <w:spacing w:after="80"/>
      </w:pPr>
      <w:r>
        <w:rPr>
          <w:rFonts w:ascii="Arial" w:cs="Arial" w:eastAsia="Arial" w:hAnsi="Arial"/>
          <w:sz w:val="20"/>
          <w:szCs w:val="20"/>
        </w:rPr>
        <w:t xml:space="preserve">The changes are made in the website source and the site builds successfully. The changes in section 4 are not yet committed. Deployment is not recorded in this log.</w:t>
      </w:r>
    </w:p>
    <w:p>
      <w:pPr>
        <w:pStyle w:val="ListParagraph"/>
        <w:numPr>
          <w:ilvl w:val="0"/>
          <w:numId w:val="2"/>
        </w:numPr>
        <w:spacing w:after="80"/>
      </w:pPr>
      <w:r>
        <w:rPr>
          <w:rFonts w:ascii="Arial" w:cs="Arial" w:eastAsia="Arial" w:hAnsi="Arial"/>
          <w:sz w:val="20"/>
          <w:szCs w:val="20"/>
        </w:rPr>
        <w:t xml:space="preserve">Rows marked “CMS seed” are corrected in the seed file only. The live content management system still holds the previous wording and overrides the page, so those rows are not yet effective on the site. A patch file with only the affected entries is prepared (sanity-content/nc46-patch.ndjson) and has not yet been applied.</w:t>
      </w:r>
    </w:p>
    <w:p>
      <w:pPr>
        <w:pStyle w:val="ListParagraph"/>
        <w:numPr>
          <w:ilvl w:val="0"/>
          <w:numId w:val="2"/>
        </w:numPr>
        <w:spacing w:after="80"/>
      </w:pPr>
      <w:r>
        <w:rPr>
          <w:rFonts w:ascii="Arial" w:cs="Arial" w:eastAsia="Arial" w:hAnsi="Arial"/>
          <w:sz w:val="20"/>
          <w:szCs w:val="20"/>
        </w:rPr>
        <w:t xml:space="preserve">The home page statistics block is currently switched off in the page, so rows H3 to H6 describe text that is not displayed at present.</w:t>
      </w:r>
    </w:p>
    <w:p>
      <w:pPr>
        <w:pStyle w:val="ListParagraph"/>
        <w:numPr>
          <w:ilvl w:val="0"/>
          <w:numId w:val="2"/>
        </w:numPr>
        <w:spacing w:after="80"/>
      </w:pPr>
      <w:r>
        <w:rPr>
          <w:rFonts w:ascii="Arial" w:cs="Arial" w:eastAsia="Arial" w:hAnsi="Arial"/>
          <w:sz w:val="20"/>
          <w:szCs w:val="20"/>
        </w:rPr>
        <w:t xml:space="preserve">The pages have not yet been reviewed visually in a browser, including the two replaced illustrations.</w:t>
      </w:r>
    </w:p>
    <w:p>
      <w:pPr>
        <w:pStyle w:val="Heading1"/>
        <w:spacing w:after="140" w:before="280"/>
      </w:pPr>
      <w:r>
        <w:rPr>
          <w:rFonts w:ascii="Arial" w:cs="Arial" w:eastAsia="Arial" w:hAnsi="Arial"/>
        </w:rPr>
        <w:t xml:space="preserve">3. Changes by page</w:t>
      </w:r>
    </w:p>
    <w:p>
      <w:pPr>
        <w:pStyle w:val="Heading2"/>
        <w:spacing w:after="140" w:before="280"/>
      </w:pPr>
      <w:r>
        <w:rPr>
          <w:rFonts w:ascii="Arial" w:cs="Arial" w:eastAsia="Arial" w:hAnsi="Arial"/>
        </w:rPr>
        <w:t xml:space="preserve">For patients</w:t>
      </w:r>
    </w:p>
    <w:p>
      <w:pPr>
        <w:spacing w:after="120"/>
      </w:pPr>
      <w:r>
        <w:rPr>
          <w:rFonts w:ascii="Arial" w:cs="Arial" w:eastAsia="Arial" w:hAnsi="Arial"/>
          <w:color w:val="595959"/>
          <w:sz w:val="18"/>
          <w:szCs w:val="18"/>
        </w:rPr>
        <w:t xml:space="preserve">Source file: src/pages/patients.astro</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5600"/>
        <w:gridCol w:w="5600"/>
      </w:tblGrid>
      <w:tr>
        <w:trPr>
          <w:tblHeader/>
        </w:trPr>
        <w:tc>
          <w:tcPr>
            <w:tcW w:type="dxa" w:w="800"/>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vAlign w:val="top"/>
          </w:tcPr>
          <w:p>
            <w:r>
              <w:rPr>
                <w:rFonts w:ascii="Arial" w:cs="Arial" w:eastAsia="Arial" w:hAnsi="Arial"/>
                <w:b/>
                <w:bCs/>
                <w:sz w:val="18"/>
                <w:szCs w:val="18"/>
              </w:rPr>
              <w:t xml:space="preserve">Ref</w:t>
            </w:r>
          </w:p>
        </w:tc>
        <w:tc>
          <w:tcPr>
            <w:tcW w:type="dxa" w:w="2400"/>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vAlign w:val="top"/>
          </w:tcPr>
          <w:p>
            <w:r>
              <w:rPr>
                <w:rFonts w:ascii="Arial" w:cs="Arial" w:eastAsia="Arial" w:hAnsi="Arial"/>
                <w:b/>
                <w:bCs/>
                <w:sz w:val="18"/>
                <w:szCs w:val="18"/>
              </w:rPr>
              <w:t xml:space="preserve">Location</w:t>
            </w:r>
          </w:p>
        </w:tc>
        <w:tc>
          <w:tcPr>
            <w:tcW w:type="dxa" w:w="5600"/>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vAlign w:val="top"/>
          </w:tcPr>
          <w:p>
            <w:r>
              <w:rPr>
                <w:rFonts w:ascii="Arial" w:cs="Arial" w:eastAsia="Arial" w:hAnsi="Arial"/>
                <w:b/>
                <w:bCs/>
                <w:sz w:val="18"/>
                <w:szCs w:val="18"/>
              </w:rPr>
              <w:t xml:space="preserve">Previous wording</w:t>
            </w:r>
          </w:p>
        </w:tc>
        <w:tc>
          <w:tcPr>
            <w:tcW w:type="dxa" w:w="5600"/>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vAlign w:val="top"/>
          </w:tcPr>
          <w:p>
            <w:r>
              <w:rPr>
                <w:rFonts w:ascii="Arial" w:cs="Arial" w:eastAsia="Arial" w:hAnsi="Arial"/>
                <w:b/>
                <w:bCs/>
                <w:sz w:val="18"/>
                <w:szCs w:val="18"/>
              </w:rPr>
              <w:t xml:space="preserve">New wording</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b/>
                <w:bCs/>
                <w:sz w:val="18"/>
                <w:szCs w:val="18"/>
              </w:rPr>
              <w:t xml:space="preserve">P1</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Disclaimer</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Koios Care is a wellness solution. It is not a medical device and does not diagnose or treat disease.</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Parkiwatch is a Class IIa Software as a Medical Device (EU MDR 2017/745) intended for the continuous, passive detection and quantitative assessment of kinematic patterns representative of tremor, bradykinesia and dyskinesia in adults with Parkinson’s Disease. It does not diagnose Parkinson’s Disease, does not recommend or change your medication, and does not replace the judgment of your healthcare professional.</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b/>
                <w:bCs/>
                <w:sz w:val="18"/>
                <w:szCs w:val="18"/>
              </w:rPr>
              <w:t xml:space="preserve">P2</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Under the hero button, in the price card and under the closing button</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i/>
                <w:iCs/>
                <w:color w:val="7F7F7F"/>
                <w:sz w:val="18"/>
                <w:szCs w:val="18"/>
              </w:rPr>
              <w:t xml:space="preserve">(nothing)</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Parkiwatch is used under the supervision of your treating healthcare professional. It is intended for adults with Parkinson’s Disease who are being treated and followed by a licensed healthcare professional.</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b/>
                <w:bCs/>
                <w:sz w:val="18"/>
                <w:szCs w:val="18"/>
              </w:rPr>
              <w:t xml:space="preserve">P3</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Phone mock-up, header</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Today · Q-index — 72/100 — ↑ 6 points this month</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Today · kinematic measures</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b/>
                <w:bCs/>
                <w:sz w:val="18"/>
                <w:szCs w:val="18"/>
              </w:rPr>
              <w:t xml:space="preserve">P4</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Phone mock-up, rows</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Steadier mornings: Gait ↑ / Rest tremor: Stable / Sleep quality: 7.4 h</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Tremor / Bradykinesia / Dyskinesia (bars only, no values) — “Measured every 15 minutes”</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b/>
                <w:bCs/>
                <w:sz w:val="18"/>
                <w:szCs w:val="18"/>
              </w:rPr>
              <w:t xml:space="preserve">P5</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Phone mock-up, caption</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i/>
                <w:iCs/>
                <w:color w:val="7F7F7F"/>
                <w:sz w:val="18"/>
                <w:szCs w:val="18"/>
              </w:rPr>
              <w:t xml:space="preserve">(nothing)</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Illustrative interface with sample data.</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b/>
                <w:bCs/>
                <w:sz w:val="18"/>
                <w:szCs w:val="18"/>
              </w:rPr>
              <w:t xml:space="preserve">P6</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“How it works” heading</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Nothing to do differently.</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Little to do differently.</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b/>
                <w:bCs/>
                <w:sz w:val="18"/>
                <w:szCs w:val="18"/>
              </w:rPr>
              <w:t xml:space="preserve">P7</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“How it works” lead</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No tasks. No manual diary. No study device to charge. Parkiwatch works quietly in the background of the phone and watch you already own.</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No manual diary and no clinic-grade hardware. Parkiwatch works in the background of your phone and a compatible smartwatch.</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b/>
                <w:bCs/>
                <w:sz w:val="18"/>
                <w:szCs w:val="18"/>
              </w:rPr>
              <w:t xml:space="preserve">P8</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Card “Wear what you wear”</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Set up once. Your phone and smartwatch quietly capture movement, rest and rhythm — no change to your routine.</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Set up once. Your phone and smartwatch capture movement in the background.</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b/>
                <w:bCs/>
                <w:sz w:val="18"/>
                <w:szCs w:val="18"/>
              </w:rPr>
              <w:t xml:space="preserve">P9</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Card “See your validated kinematic measures”</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Get a clear picture for how your quality of life is trending — with the patterns behind it in plain language.</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Tremor, bradykinesia and dyskinesia, measured through the day in 15-minute intervals — in reports designed to be reviewed with your healthcare professional.</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b/>
                <w:bCs/>
                <w:sz w:val="18"/>
                <w:szCs w:val="18"/>
              </w:rPr>
              <w:t xml:space="preserve">P10</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“What’s included” list</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40+ digital measures of gait, tremor, sleep, activity and heart-rate physiology.</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Validated kinematic measures of tremor, bradykinesia and dyskinesia, alongside supportive digital health measures.</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b/>
                <w:bCs/>
                <w:sz w:val="18"/>
                <w:szCs w:val="18"/>
              </w:rPr>
              <w:t xml:space="preserve">P11</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FAQ “Do I need a special device?” (page and CMS seed)</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No. Parkiwatch runs on the smartphone and smartwatch you already own. There is no clinic-grade hardware to buy and no study wearable to charge or return.</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Parkiwatch runs on an Android smartphone together with a compatible third-party smartwatch or wrist-worn sensor. There is no clinic-grade hardware to buy. The compatibility page lists supported devices.</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b/>
                <w:bCs/>
                <w:sz w:val="18"/>
                <w:szCs w:val="18"/>
              </w:rPr>
              <w:t xml:space="preserve">P12</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FAQ (page and CMS seed)</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What is the Q-index? — The Q-index is a single, clear measure of how your quality of life is trending over time, built from 40+ digital measures. It is designed to be easy to read at a glance and to share with your care team.</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What does Parkiwatch measure? — Parkiwatch provides validated kinematic measures representative of tremor, bradykinesia and dyskinesia, alongside supportive digital health measures. Its reports are designed to be reviewed with your healthcare professional.</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b/>
                <w:bCs/>
                <w:sz w:val="18"/>
                <w:szCs w:val="18"/>
              </w:rPr>
              <w:t xml:space="preserve">P13</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FAQ “Is there anything I have to do each day?” (CMS seed only)</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Nothing. There are no tasks, tests or diaries to fill in. Parkiwatch captures everyday movement and rest passively in the background, so your data reflects real life rather than a one-off snapshot.</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Very little. Wear your smartwatch or wrist-worn sensor during your waking hours and Parkiwatch works in the background. If your healthcare professional selects it, you will be asked from time to time to complete a short questionnaire.</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b/>
                <w:bCs/>
                <w:sz w:val="18"/>
                <w:szCs w:val="18"/>
              </w:rPr>
              <w:t xml:space="preserve">P14</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FAQ (CMS seed only)</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Is Koios a medical device? — No. Koios Care is a wellness solution. It does not diagnose or treat disease, and it does not replace your clinician’s judgement. It gives you and your care team a clearer, objective picture between visits.</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Is Parkiwatch a medical device? — Yes. Parkiwatch is a Class IIa Software as a Medical Device under EU MDR 2017/745. It does not diagnose Parkinson’s Disease, does not recommend or change your medication, and does not replace the judgment of your healthcare professional. It is used under the supervision of your treating healthcare professional.</w:t>
            </w:r>
          </w:p>
        </w:tc>
      </w:tr>
    </w:tbl>
    <w:p>
      <w:pPr>
        <w:pStyle w:val="Heading2"/>
        <w:spacing w:after="140" w:before="280"/>
      </w:pPr>
      <w:r>
        <w:rPr>
          <w:rFonts w:ascii="Arial" w:cs="Arial" w:eastAsia="Arial" w:hAnsi="Arial"/>
        </w:rPr>
        <w:t xml:space="preserve">For clinicians</w:t>
      </w:r>
    </w:p>
    <w:p>
      <w:pPr>
        <w:spacing w:after="120"/>
      </w:pPr>
      <w:r>
        <w:rPr>
          <w:rFonts w:ascii="Arial" w:cs="Arial" w:eastAsia="Arial" w:hAnsi="Arial"/>
          <w:color w:val="595959"/>
          <w:sz w:val="18"/>
          <w:szCs w:val="18"/>
        </w:rPr>
        <w:t xml:space="preserve">Source file: src/pages/clinicians.astro</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5600"/>
        <w:gridCol w:w="5600"/>
      </w:tblGrid>
      <w:tr>
        <w:trPr>
          <w:tblHeader/>
        </w:trPr>
        <w:tc>
          <w:tcPr>
            <w:tcW w:type="dxa" w:w="800"/>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vAlign w:val="top"/>
          </w:tcPr>
          <w:p>
            <w:r>
              <w:rPr>
                <w:rFonts w:ascii="Arial" w:cs="Arial" w:eastAsia="Arial" w:hAnsi="Arial"/>
                <w:b/>
                <w:bCs/>
                <w:sz w:val="18"/>
                <w:szCs w:val="18"/>
              </w:rPr>
              <w:t xml:space="preserve">Ref</w:t>
            </w:r>
          </w:p>
        </w:tc>
        <w:tc>
          <w:tcPr>
            <w:tcW w:type="dxa" w:w="2400"/>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vAlign w:val="top"/>
          </w:tcPr>
          <w:p>
            <w:r>
              <w:rPr>
                <w:rFonts w:ascii="Arial" w:cs="Arial" w:eastAsia="Arial" w:hAnsi="Arial"/>
                <w:b/>
                <w:bCs/>
                <w:sz w:val="18"/>
                <w:szCs w:val="18"/>
              </w:rPr>
              <w:t xml:space="preserve">Location</w:t>
            </w:r>
          </w:p>
        </w:tc>
        <w:tc>
          <w:tcPr>
            <w:tcW w:type="dxa" w:w="5600"/>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vAlign w:val="top"/>
          </w:tcPr>
          <w:p>
            <w:r>
              <w:rPr>
                <w:rFonts w:ascii="Arial" w:cs="Arial" w:eastAsia="Arial" w:hAnsi="Arial"/>
                <w:b/>
                <w:bCs/>
                <w:sz w:val="18"/>
                <w:szCs w:val="18"/>
              </w:rPr>
              <w:t xml:space="preserve">Previous wording</w:t>
            </w:r>
          </w:p>
        </w:tc>
        <w:tc>
          <w:tcPr>
            <w:tcW w:type="dxa" w:w="5600"/>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vAlign w:val="top"/>
          </w:tcPr>
          <w:p>
            <w:r>
              <w:rPr>
                <w:rFonts w:ascii="Arial" w:cs="Arial" w:eastAsia="Arial" w:hAnsi="Arial"/>
                <w:b/>
                <w:bCs/>
                <w:sz w:val="18"/>
                <w:szCs w:val="18"/>
              </w:rPr>
              <w:t xml:space="preserve">New wording</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b/>
                <w:bCs/>
                <w:sz w:val="18"/>
                <w:szCs w:val="18"/>
              </w:rPr>
              <w:t xml:space="preserve">C1</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Hero lead and meta description</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Remote monitoring that fits your workflow. Spot changes earlier and ground each conversation in real-world data — all from one dashboard, with no clinic-grade hardware to manage.</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Remote monitoring that fits your workflow. Validated kinematic measures between clinic visits, to ground each conversation in real-world data — all from one dashboard, with no clinic-grade hardware to manage.</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b/>
                <w:bCs/>
                <w:sz w:val="18"/>
                <w:szCs w:val="18"/>
              </w:rPr>
              <w:t xml:space="preserve">C2</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Feature card</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Spot changes earlier — Continuous measures surface drift in gait, tremor and sleep weeks before it would show up in a clinic exam.</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Information between visits — Validated kinematic measures of tremor, bradykinesia and dyskinesia at a resolution of 15 minutes — between clinic visits that typically occur every 3–6 months.</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b/>
                <w:bCs/>
                <w:sz w:val="18"/>
                <w:szCs w:val="18"/>
              </w:rPr>
              <w:t xml:space="preserve">C3</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Card “Ground the conversation”</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Start each appointment from objective data instead of recall — fewer surprises, better-targeted decisions.</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Start each appointment from objective data alongside recall. This may support more informed decisions regarding the management and care plan of the patient — adjunctive to your clinical assessment and judgment.</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b/>
                <w:bCs/>
                <w:sz w:val="18"/>
                <w:szCs w:val="18"/>
              </w:rPr>
              <w:t xml:space="preserve">C4</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Testimonial section</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“Koios helps me identify a patient’s pains quickly and offer better care.” — A.G. · Clinician</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i/>
                <w:iCs/>
                <w:color w:val="7F7F7F"/>
                <w:sz w:val="18"/>
                <w:szCs w:val="18"/>
              </w:rPr>
              <w:t xml:space="preserve">(removed)</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b/>
                <w:bCs/>
                <w:sz w:val="18"/>
                <w:szCs w:val="18"/>
              </w:rPr>
              <w:t xml:space="preserve">C5</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Hospital card, label</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Deployed across</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Research sites · KC-QI-2023</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b/>
                <w:bCs/>
                <w:sz w:val="18"/>
                <w:szCs w:val="18"/>
              </w:rPr>
              <w:t xml:space="preserve">C6</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Hospital card, text</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Koios is in use with real patients across Belgian hospital networks.</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These hospitals are research sites of the KC-QI-2023 study. Their listing does not indicate routine clinical use of Parkiwatch at these sites.</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b/>
                <w:bCs/>
                <w:sz w:val="18"/>
                <w:szCs w:val="18"/>
              </w:rPr>
              <w:t xml:space="preserve">C7</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Dashboard illustration, tiles</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Q-index (e.g. 74, +6) / Gait (e.g. +4%) / Sleep (e.g. 7.4h, +0.3h)</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Tremor — daily line / Bradykinesia — % of active hours by score band / Dyskinesia — % of active hours by score band (charts only, no values)</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b/>
                <w:bCs/>
                <w:sz w:val="18"/>
                <w:szCs w:val="18"/>
              </w:rPr>
              <w:t xml:space="preserve">C8</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Dashboard illustration, notes</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“Steady improvement across gait and sleep over the last 30 days.” / “Rest tremor trending up and sleep shortening — worth a closer look at the next visit.” / “Stable and high. No action needed; continue current scheme.” / “Marked decline in gait and sleep over two weeks — consider bringing the appointment forward.”</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Validated kinematic measures · 15-minute resolution · PDF report available</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b/>
                <w:bCs/>
                <w:sz w:val="18"/>
                <w:szCs w:val="18"/>
              </w:rPr>
              <w:t xml:space="preserve">C9</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Dashboard illustration, patient list</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B. Vermeulen / D. Haesaert / L. Maes / R. Peeters, each with a Q-index line (e.g. “Q 74 · +6 / 30d”) and a green, amber or red status dot</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Patient A to Patient D, each with age and “last 14 days”; no status dots</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b/>
                <w:bCs/>
                <w:sz w:val="18"/>
                <w:szCs w:val="18"/>
              </w:rPr>
              <w:t xml:space="preserve">C10</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Dashboard illustration, caption</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Illustrative interface with sample data. Click a patient to switch views.</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Illustrative interface with sample data. Click a patient to switch views. Outputs are adjunctive to, and must be interpreted within the context of, standard clinical assessment.</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b/>
                <w:bCs/>
                <w:sz w:val="18"/>
                <w:szCs w:val="18"/>
              </w:rPr>
              <w:t xml:space="preserve">C11</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“Getting started”, step 3</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Review on the dashboard — trends, flags and a shareable summary for each appointment.</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Review on the dashboard — validated kinematic measures and a PDF report for each appointment.</w:t>
            </w:r>
          </w:p>
        </w:tc>
      </w:tr>
    </w:tbl>
    <w:p>
      <w:pPr>
        <w:pStyle w:val="Heading2"/>
        <w:spacing w:after="140" w:before="280"/>
      </w:pPr>
      <w:r>
        <w:rPr>
          <w:rFonts w:ascii="Arial" w:cs="Arial" w:eastAsia="Arial" w:hAnsi="Arial"/>
        </w:rPr>
        <w:t xml:space="preserve">For pharma</w:t>
      </w:r>
    </w:p>
    <w:p>
      <w:pPr>
        <w:spacing w:after="120"/>
      </w:pPr>
      <w:r>
        <w:rPr>
          <w:rFonts w:ascii="Arial" w:cs="Arial" w:eastAsia="Arial" w:hAnsi="Arial"/>
          <w:color w:val="595959"/>
          <w:sz w:val="18"/>
          <w:szCs w:val="18"/>
        </w:rPr>
        <w:t xml:space="preserve">Source file: src/pages/pharma.astro</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5600"/>
        <w:gridCol w:w="5600"/>
      </w:tblGrid>
      <w:tr>
        <w:trPr>
          <w:tblHeader/>
        </w:trPr>
        <w:tc>
          <w:tcPr>
            <w:tcW w:type="dxa" w:w="800"/>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vAlign w:val="top"/>
          </w:tcPr>
          <w:p>
            <w:r>
              <w:rPr>
                <w:rFonts w:ascii="Arial" w:cs="Arial" w:eastAsia="Arial" w:hAnsi="Arial"/>
                <w:b/>
                <w:bCs/>
                <w:sz w:val="18"/>
                <w:szCs w:val="18"/>
              </w:rPr>
              <w:t xml:space="preserve">Ref</w:t>
            </w:r>
          </w:p>
        </w:tc>
        <w:tc>
          <w:tcPr>
            <w:tcW w:type="dxa" w:w="2400"/>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vAlign w:val="top"/>
          </w:tcPr>
          <w:p>
            <w:r>
              <w:rPr>
                <w:rFonts w:ascii="Arial" w:cs="Arial" w:eastAsia="Arial" w:hAnsi="Arial"/>
                <w:b/>
                <w:bCs/>
                <w:sz w:val="18"/>
                <w:szCs w:val="18"/>
              </w:rPr>
              <w:t xml:space="preserve">Location</w:t>
            </w:r>
          </w:p>
        </w:tc>
        <w:tc>
          <w:tcPr>
            <w:tcW w:type="dxa" w:w="5600"/>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vAlign w:val="top"/>
          </w:tcPr>
          <w:p>
            <w:r>
              <w:rPr>
                <w:rFonts w:ascii="Arial" w:cs="Arial" w:eastAsia="Arial" w:hAnsi="Arial"/>
                <w:b/>
                <w:bCs/>
                <w:sz w:val="18"/>
                <w:szCs w:val="18"/>
              </w:rPr>
              <w:t xml:space="preserve">Previous wording</w:t>
            </w:r>
          </w:p>
        </w:tc>
        <w:tc>
          <w:tcPr>
            <w:tcW w:type="dxa" w:w="5600"/>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vAlign w:val="top"/>
          </w:tcPr>
          <w:p>
            <w:r>
              <w:rPr>
                <w:rFonts w:ascii="Arial" w:cs="Arial" w:eastAsia="Arial" w:hAnsi="Arial"/>
                <w:b/>
                <w:bCs/>
                <w:sz w:val="18"/>
                <w:szCs w:val="18"/>
              </w:rPr>
              <w:t xml:space="preserve">New wording</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b/>
                <w:bCs/>
                <w:sz w:val="18"/>
                <w:szCs w:val="18"/>
              </w:rPr>
              <w:t xml:space="preserve">F1</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Metric</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40+ digital measures, ready to use as exploratory endpoints</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40+ research measures, available as exploratory endpoints</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b/>
                <w:bCs/>
                <w:sz w:val="18"/>
                <w:szCs w:val="18"/>
              </w:rPr>
              <w:t xml:space="preserve">F2</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Under the metrics</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i/>
                <w:iCs/>
                <w:color w:val="7F7F7F"/>
                <w:sz w:val="18"/>
                <w:szCs w:val="18"/>
              </w:rPr>
              <w:t xml:space="preserve">(nothing)</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The measures on this page are research measures for use in clinical studies. They are not part of the CE-marked PARKIWATCH medical device, whose intended purpose is limited to the validated kinematic measures of tremor, bradykinesia and dyskinesia.</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b/>
                <w:bCs/>
                <w:sz w:val="18"/>
                <w:szCs w:val="18"/>
              </w:rPr>
              <w:t xml:space="preserve">F3</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Disclaimer under the measure library</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Measure availability and endpoint qualification depend on study design and regulatory context. Koios Care is a wellness solution and is not a medical device.</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The measures on this page are research measures for use in clinical studies. They are not part of the CE-marked PARKIWATCH medical device, whose intended purpose is limited to the validated kinematic measures of tremor, bradykinesia and dyskinesia. Measure availability and endpoint qualification depend on study design and regulatory context.</w:t>
            </w:r>
          </w:p>
        </w:tc>
      </w:tr>
    </w:tbl>
    <w:p>
      <w:pPr>
        <w:pStyle w:val="Heading2"/>
        <w:spacing w:after="140" w:before="280"/>
      </w:pPr>
      <w:r>
        <w:rPr>
          <w:rFonts w:ascii="Arial" w:cs="Arial" w:eastAsia="Arial" w:hAnsi="Arial"/>
        </w:rPr>
        <w:t xml:space="preserve">Science</w:t>
      </w:r>
    </w:p>
    <w:p>
      <w:pPr>
        <w:spacing w:after="120"/>
      </w:pPr>
      <w:r>
        <w:rPr>
          <w:rFonts w:ascii="Arial" w:cs="Arial" w:eastAsia="Arial" w:hAnsi="Arial"/>
          <w:color w:val="595959"/>
          <w:sz w:val="18"/>
          <w:szCs w:val="18"/>
        </w:rPr>
        <w:t xml:space="preserve">Source file: src/pages/science.astro</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5600"/>
        <w:gridCol w:w="5600"/>
      </w:tblGrid>
      <w:tr>
        <w:trPr>
          <w:tblHeader/>
        </w:trPr>
        <w:tc>
          <w:tcPr>
            <w:tcW w:type="dxa" w:w="800"/>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vAlign w:val="top"/>
          </w:tcPr>
          <w:p>
            <w:r>
              <w:rPr>
                <w:rFonts w:ascii="Arial" w:cs="Arial" w:eastAsia="Arial" w:hAnsi="Arial"/>
                <w:b/>
                <w:bCs/>
                <w:sz w:val="18"/>
                <w:szCs w:val="18"/>
              </w:rPr>
              <w:t xml:space="preserve">Ref</w:t>
            </w:r>
          </w:p>
        </w:tc>
        <w:tc>
          <w:tcPr>
            <w:tcW w:type="dxa" w:w="2400"/>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vAlign w:val="top"/>
          </w:tcPr>
          <w:p>
            <w:r>
              <w:rPr>
                <w:rFonts w:ascii="Arial" w:cs="Arial" w:eastAsia="Arial" w:hAnsi="Arial"/>
                <w:b/>
                <w:bCs/>
                <w:sz w:val="18"/>
                <w:szCs w:val="18"/>
              </w:rPr>
              <w:t xml:space="preserve">Location</w:t>
            </w:r>
          </w:p>
        </w:tc>
        <w:tc>
          <w:tcPr>
            <w:tcW w:type="dxa" w:w="5600"/>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vAlign w:val="top"/>
          </w:tcPr>
          <w:p>
            <w:r>
              <w:rPr>
                <w:rFonts w:ascii="Arial" w:cs="Arial" w:eastAsia="Arial" w:hAnsi="Arial"/>
                <w:b/>
                <w:bCs/>
                <w:sz w:val="18"/>
                <w:szCs w:val="18"/>
              </w:rPr>
              <w:t xml:space="preserve">Previous wording</w:t>
            </w:r>
          </w:p>
        </w:tc>
        <w:tc>
          <w:tcPr>
            <w:tcW w:type="dxa" w:w="5600"/>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vAlign w:val="top"/>
          </w:tcPr>
          <w:p>
            <w:r>
              <w:rPr>
                <w:rFonts w:ascii="Arial" w:cs="Arial" w:eastAsia="Arial" w:hAnsi="Arial"/>
                <w:b/>
                <w:bCs/>
                <w:sz w:val="18"/>
                <w:szCs w:val="18"/>
              </w:rPr>
              <w:t xml:space="preserve">New wording</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b/>
                <w:bCs/>
                <w:sz w:val="18"/>
                <w:szCs w:val="18"/>
              </w:rPr>
              <w:t xml:space="preserve">S1</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Hero lead and meta description</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Peer-reviewed publications and hospitals across Belgium using the platform with real patients. The evidence behind the Q-index, in the open.</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Peer-reviewed publications, and research conducted with hospitals across Belgium as sites of the KC-QI-2023 study. The evidence behind the measures, in the open.</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b/>
                <w:bCs/>
                <w:sz w:val="18"/>
                <w:szCs w:val="18"/>
              </w:rPr>
              <w:t xml:space="preserve">S2</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Measures block, eyebrow and heading</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The Q-index — From raw sensor data to one clear measure.</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The measures — From raw sensor data to validated kinematic measures.</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b/>
                <w:bCs/>
                <w:sz w:val="18"/>
                <w:szCs w:val="18"/>
              </w:rPr>
              <w:t xml:space="preserve">S3</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Measures block, lead</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The Q-index distils 40+ digital measures into a single, interpretable indicator of how quality of life is trending — designed to be read at a glance and shared with a care team.</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Parkiwatch applies validated signal processing and statistical learning algorithms to wrist accelerometer data, producing continuous, longitudinal kinematic measures for healthcare professionals.</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b/>
                <w:bCs/>
                <w:sz w:val="18"/>
                <w:szCs w:val="18"/>
              </w:rPr>
              <w:t xml:space="preserve">S4</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Step 01 · Capture</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Everyday phone and smartwatch sensors record movement, rest and heart-rate physiology continuously, with no tasks.</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A smartwatch or wrist-worn sensor records triaxial accelerometer data during daily life.</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b/>
                <w:bCs/>
                <w:sz w:val="18"/>
                <w:szCs w:val="18"/>
              </w:rPr>
              <w:t xml:space="preserve">S5</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Step 02 · Measure</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Validated digital measures — Signal becomes 40+ measures of gait, tremor, sleep, activity and autonomic function, each validated against clinical references.</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Validated kinematic measures — Signal becomes three validated kinematic measures — tremor, bradykinesia and dyskinesia — calculated alongside supportive digital health measures of typing, mealtime movement, sleep and activity.</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b/>
                <w:bCs/>
                <w:sz w:val="18"/>
                <w:szCs w:val="18"/>
              </w:rPr>
              <w:t xml:space="preserve">S6</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Step 03</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Compose · The Q-index — Measures are combined into a single composite that tracks quality-of-life trend over time, robust to day-to-day noise.</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Report · Dashboard &amp; PDF reports — Measures are made available to healthcare professionals at 15-minute resolution, to be interpreted within the context of standard clinical assessment.</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b/>
                <w:bCs/>
                <w:sz w:val="18"/>
                <w:szCs w:val="18"/>
              </w:rPr>
              <w:t xml:space="preserve">S7</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New block below the steps</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i/>
                <w:iCs/>
                <w:color w:val="7F7F7F"/>
                <w:sz w:val="18"/>
                <w:szCs w:val="18"/>
              </w:rPr>
              <w:t xml:space="preserve">(nothing)</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In research · not part of the CE-marked device — The Q-index. An exploratory composite of digital measures under investigation as an indicator of quality-of-life trend. It is a research measure and is not an output of the PARKIWATCH medical device.</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b/>
                <w:bCs/>
                <w:sz w:val="18"/>
                <w:szCs w:val="18"/>
              </w:rPr>
              <w:t xml:space="preserve">S8</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Partners section, heading</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Built with clinicians and research institutions.</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Research sites and backers.</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b/>
                <w:bCs/>
                <w:sz w:val="18"/>
                <w:szCs w:val="18"/>
              </w:rPr>
              <w:t xml:space="preserve">S9</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Partners section, list</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One unlabelled list: AZ Delta, AZ Groeninge, AZ Oostende, CHU Liège, CHU Charleroi, imec.istart, VLAIO</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Research sites · KC-QI-2023: AZ Delta, AZ Groeninge, AZ Oostende, CHU Liège, CHU Charleroi — “Their listing does not indicate routine clinical use of Parkiwatch at these sites.” / Backed by: imec.istart, VLAIO</w:t>
            </w:r>
          </w:p>
        </w:tc>
      </w:tr>
    </w:tbl>
    <w:p>
      <w:pPr>
        <w:pStyle w:val="Heading2"/>
        <w:spacing w:after="140" w:before="280"/>
      </w:pPr>
      <w:r>
        <w:rPr>
          <w:rFonts w:ascii="Arial" w:cs="Arial" w:eastAsia="Arial" w:hAnsi="Arial"/>
        </w:rPr>
        <w:t xml:space="preserve">About</w:t>
      </w:r>
    </w:p>
    <w:p>
      <w:pPr>
        <w:spacing w:after="120"/>
      </w:pPr>
      <w:r>
        <w:rPr>
          <w:rFonts w:ascii="Arial" w:cs="Arial" w:eastAsia="Arial" w:hAnsi="Arial"/>
          <w:color w:val="595959"/>
          <w:sz w:val="18"/>
          <w:szCs w:val="18"/>
        </w:rPr>
        <w:t xml:space="preserve">Source file: src/pages/about.astro</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5600"/>
        <w:gridCol w:w="5600"/>
      </w:tblGrid>
      <w:tr>
        <w:trPr>
          <w:tblHeader/>
        </w:trPr>
        <w:tc>
          <w:tcPr>
            <w:tcW w:type="dxa" w:w="800"/>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vAlign w:val="top"/>
          </w:tcPr>
          <w:p>
            <w:r>
              <w:rPr>
                <w:rFonts w:ascii="Arial" w:cs="Arial" w:eastAsia="Arial" w:hAnsi="Arial"/>
                <w:b/>
                <w:bCs/>
                <w:sz w:val="18"/>
                <w:szCs w:val="18"/>
              </w:rPr>
              <w:t xml:space="preserve">Ref</w:t>
            </w:r>
          </w:p>
        </w:tc>
        <w:tc>
          <w:tcPr>
            <w:tcW w:type="dxa" w:w="2400"/>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vAlign w:val="top"/>
          </w:tcPr>
          <w:p>
            <w:r>
              <w:rPr>
                <w:rFonts w:ascii="Arial" w:cs="Arial" w:eastAsia="Arial" w:hAnsi="Arial"/>
                <w:b/>
                <w:bCs/>
                <w:sz w:val="18"/>
                <w:szCs w:val="18"/>
              </w:rPr>
              <w:t xml:space="preserve">Location</w:t>
            </w:r>
          </w:p>
        </w:tc>
        <w:tc>
          <w:tcPr>
            <w:tcW w:type="dxa" w:w="5600"/>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vAlign w:val="top"/>
          </w:tcPr>
          <w:p>
            <w:r>
              <w:rPr>
                <w:rFonts w:ascii="Arial" w:cs="Arial" w:eastAsia="Arial" w:hAnsi="Arial"/>
                <w:b/>
                <w:bCs/>
                <w:sz w:val="18"/>
                <w:szCs w:val="18"/>
              </w:rPr>
              <w:t xml:space="preserve">Previous wording</w:t>
            </w:r>
          </w:p>
        </w:tc>
        <w:tc>
          <w:tcPr>
            <w:tcW w:type="dxa" w:w="5600"/>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vAlign w:val="top"/>
          </w:tcPr>
          <w:p>
            <w:r>
              <w:rPr>
                <w:rFonts w:ascii="Arial" w:cs="Arial" w:eastAsia="Arial" w:hAnsi="Arial"/>
                <w:b/>
                <w:bCs/>
                <w:sz w:val="18"/>
                <w:szCs w:val="18"/>
              </w:rPr>
              <w:t xml:space="preserve">New wording</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b/>
                <w:bCs/>
                <w:sz w:val="18"/>
                <w:szCs w:val="18"/>
              </w:rPr>
              <w:t xml:space="preserve">A1</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“Why we exist”, paragraph 2</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We turn everyday movement and rest into objective, validated measures of life with Parkinson’s — so patients feel more in control, clinicians see earlier, and researchers gain real-world evidence.</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We turn everyday movement into objective, validated kinematic measures of tremor, bradykinesia and dyskinesia — giving patients and their healthcare professionals information between clinic visits, and researchers real-world evidence.</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b/>
                <w:bCs/>
                <w:sz w:val="18"/>
                <w:szCs w:val="18"/>
              </w:rPr>
              <w:t xml:space="preserve">A2</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“Why we exist”, paragraph 3</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We do it with no extra hardware and no daily tasks, because the best measurement is the one that fits invisibly into a life.</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We do it with no clinic-grade hardware and little daily effort, because the best measurement is the one that fits quietly into a life.</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b/>
                <w:bCs/>
                <w:sz w:val="18"/>
                <w:szCs w:val="18"/>
              </w:rPr>
              <w:t xml:space="preserve">A3</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Principle 02 “Invisible by design”</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The best measurement asks nothing of the patient. No tasks, no diaries, no devices to charge.</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The best measurement asks little of the patient. Passive capture in the background, with no manual diary.</w:t>
            </w:r>
          </w:p>
        </w:tc>
      </w:tr>
    </w:tbl>
    <w:p>
      <w:pPr>
        <w:pStyle w:val="Heading2"/>
        <w:spacing w:after="140" w:before="280"/>
      </w:pPr>
      <w:r>
        <w:rPr>
          <w:rFonts w:ascii="Arial" w:cs="Arial" w:eastAsia="Arial" w:hAnsi="Arial"/>
        </w:rPr>
        <w:t xml:space="preserve">Home</w:t>
      </w:r>
    </w:p>
    <w:p>
      <w:pPr>
        <w:spacing w:after="120"/>
      </w:pPr>
      <w:r>
        <w:rPr>
          <w:rFonts w:ascii="Arial" w:cs="Arial" w:eastAsia="Arial" w:hAnsi="Arial"/>
          <w:color w:val="595959"/>
          <w:sz w:val="18"/>
          <w:szCs w:val="18"/>
        </w:rPr>
        <w:t xml:space="preserve">Source file: src/pages/index.astro</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5600"/>
        <w:gridCol w:w="5600"/>
      </w:tblGrid>
      <w:tr>
        <w:trPr>
          <w:tblHeader/>
        </w:trPr>
        <w:tc>
          <w:tcPr>
            <w:tcW w:type="dxa" w:w="800"/>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vAlign w:val="top"/>
          </w:tcPr>
          <w:p>
            <w:r>
              <w:rPr>
                <w:rFonts w:ascii="Arial" w:cs="Arial" w:eastAsia="Arial" w:hAnsi="Arial"/>
                <w:b/>
                <w:bCs/>
                <w:sz w:val="18"/>
                <w:szCs w:val="18"/>
              </w:rPr>
              <w:t xml:space="preserve">Ref</w:t>
            </w:r>
          </w:p>
        </w:tc>
        <w:tc>
          <w:tcPr>
            <w:tcW w:type="dxa" w:w="2400"/>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vAlign w:val="top"/>
          </w:tcPr>
          <w:p>
            <w:r>
              <w:rPr>
                <w:rFonts w:ascii="Arial" w:cs="Arial" w:eastAsia="Arial" w:hAnsi="Arial"/>
                <w:b/>
                <w:bCs/>
                <w:sz w:val="18"/>
                <w:szCs w:val="18"/>
              </w:rPr>
              <w:t xml:space="preserve">Location</w:t>
            </w:r>
          </w:p>
        </w:tc>
        <w:tc>
          <w:tcPr>
            <w:tcW w:type="dxa" w:w="5600"/>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vAlign w:val="top"/>
          </w:tcPr>
          <w:p>
            <w:r>
              <w:rPr>
                <w:rFonts w:ascii="Arial" w:cs="Arial" w:eastAsia="Arial" w:hAnsi="Arial"/>
                <w:b/>
                <w:bCs/>
                <w:sz w:val="18"/>
                <w:szCs w:val="18"/>
              </w:rPr>
              <w:t xml:space="preserve">Previous wording</w:t>
            </w:r>
          </w:p>
        </w:tc>
        <w:tc>
          <w:tcPr>
            <w:tcW w:type="dxa" w:w="5600"/>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vAlign w:val="top"/>
          </w:tcPr>
          <w:p>
            <w:r>
              <w:rPr>
                <w:rFonts w:ascii="Arial" w:cs="Arial" w:eastAsia="Arial" w:hAnsi="Arial"/>
                <w:b/>
                <w:bCs/>
                <w:sz w:val="18"/>
                <w:szCs w:val="18"/>
              </w:rPr>
              <w:t xml:space="preserve">New wording</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b/>
                <w:bCs/>
                <w:sz w:val="18"/>
                <w:szCs w:val="18"/>
              </w:rPr>
              <w:t xml:space="preserve">H1</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Disclaimer</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Koios Care is a wellness solution. It is not a medical device and does not diagnose or treat disease.</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Parkiwatch is a Class IIa Software as a Medical Device (EU MDR 2017/745) intended for the continuous, passive detection and quantitative assessment of kinematic patterns representative of tremor, bradykinesia and dyskinesia in adults with Parkinson’s Disease. It does not diagnose Parkinson’s Disease, does not recommend or change your medication, and does not replace the judgment of your healthcare professional.</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b/>
                <w:bCs/>
                <w:sz w:val="18"/>
                <w:szCs w:val="18"/>
              </w:rPr>
              <w:t xml:space="preserve">H2</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Quote (page and CMS seed)</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“Koios helps me identify a patient’s pains quickly and offer better care.” — A.G. · Clinician</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i/>
                <w:iCs/>
                <w:color w:val="7F7F7F"/>
                <w:sz w:val="18"/>
                <w:szCs w:val="18"/>
              </w:rPr>
              <w:t xml:space="preserve">(removed)</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b/>
                <w:bCs/>
                <w:sz w:val="18"/>
                <w:szCs w:val="18"/>
              </w:rPr>
              <w:t xml:space="preserve">H3</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Stat (page and CMS seed)</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96% of patients’ days captured passively, with no added effort</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96% of patients’ days captured passively</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b/>
                <w:bCs/>
                <w:sz w:val="18"/>
                <w:szCs w:val="18"/>
              </w:rPr>
              <w:t xml:space="preserve">H4</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Stat (page and CMS seed)</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40+ digital measures of neurological &amp; body health (CMS seed: “validated digital measures…”)</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3 validated kinematic measures: tremor, bradykinesia, dyskinesia</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b/>
                <w:bCs/>
                <w:sz w:val="18"/>
                <w:szCs w:val="18"/>
              </w:rPr>
              <w:t xml:space="preserve">H5</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Stat (page and CMS seed)</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8 hospital &amp; research partners across Belgium</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5 hospital research sites in the KC-QI-2023 study</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b/>
                <w:bCs/>
                <w:sz w:val="18"/>
                <w:szCs w:val="18"/>
              </w:rPr>
              <w:t xml:space="preserve">H6</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Stat (CMS seed only)</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57% reported improvement in health-related quality of life</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i/>
                <w:iCs/>
                <w:color w:val="7F7F7F"/>
                <w:sz w:val="18"/>
                <w:szCs w:val="18"/>
              </w:rPr>
              <w:t xml:space="preserve">(removed)</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b/>
                <w:bCs/>
                <w:sz w:val="18"/>
                <w:szCs w:val="18"/>
              </w:rPr>
              <w:t xml:space="preserve">H7</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“How Koios works”, step 2</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Gait, tremor, sleep, activity and heart-rate physiology become 40+ digital measures of neuro, brain and body health.</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Wrist movement becomes three validated kinematic measures — tremor, bradykinesia and dyskinesia — alongside supportive digital health measures.</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b/>
                <w:bCs/>
                <w:sz w:val="18"/>
                <w:szCs w:val="18"/>
              </w:rPr>
              <w:t xml:space="preserve">H8</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“How Koios works”, step 3</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Track quality of life with the Q-index — One clear index shows how quality of life changes over time. Patients can share it with their care team to help guide treatment.</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Share with your healthcare professional — Measures reach your healthcare professional via a dashboard and PDF reports, between clinic visits.</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b/>
                <w:bCs/>
                <w:sz w:val="18"/>
                <w:szCs w:val="18"/>
              </w:rPr>
              <w:t xml:space="preserve">H9</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“For clinicians” door card</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Remote monitoring that fits your workflow. Spot changes earlier and ground each conversation in real-world data — all from one dashboard.</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Remote monitoring that fits your workflow. Validated kinematic measures between clinic visits, to ground each conversation in real-world data — all from one dashboard.</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b/>
                <w:bCs/>
                <w:sz w:val="18"/>
                <w:szCs w:val="18"/>
              </w:rPr>
              <w:t xml:space="preserve">H10</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Science strip, lead</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Peer-reviewed publications and hospitals across Belgium using the platform with real patients.</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Peer-reviewed publications, and research conducted with hospitals across Belgium as sites of the KC-QI-2023 study.</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b/>
                <w:bCs/>
                <w:sz w:val="18"/>
                <w:szCs w:val="18"/>
              </w:rPr>
              <w:t xml:space="preserve">H11</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Science strip, partner list</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One unlabelled list of hospitals and backers</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Split and labelled as on the Science page (S9)</w:t>
            </w:r>
          </w:p>
        </w:tc>
      </w:tr>
    </w:tbl>
    <w:p>
      <w:pPr>
        <w:pStyle w:val="Heading1"/>
        <w:spacing w:after="140" w:before="280"/>
      </w:pPr>
      <w:r>
        <w:rPr>
          <w:rFonts w:ascii="Arial" w:cs="Arial" w:eastAsia="Arial" w:hAnsi="Arial"/>
        </w:rPr>
        <w:t xml:space="preserve">4. Further changes, 11 October 2026</w:t>
      </w:r>
    </w:p>
    <w:p>
      <w:pPr>
        <w:spacing w:after="120"/>
      </w:pPr>
      <w:r>
        <w:rPr>
          <w:rFonts w:ascii="Arial" w:cs="Arial" w:eastAsia="Arial" w:hAnsi="Arial"/>
          <w:sz w:val="20"/>
          <w:szCs w:val="20"/>
        </w:rPr>
        <w:t xml:space="preserve">A scan of every built page after the first round found further wording that conflicted with the same requirements. These rows record the second round.</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5600"/>
        <w:gridCol w:w="5600"/>
      </w:tblGrid>
      <w:tr>
        <w:trPr>
          <w:tblHeader/>
        </w:trPr>
        <w:tc>
          <w:tcPr>
            <w:tcW w:type="dxa" w:w="800"/>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vAlign w:val="top"/>
          </w:tcPr>
          <w:p>
            <w:r>
              <w:rPr>
                <w:rFonts w:ascii="Arial" w:cs="Arial" w:eastAsia="Arial" w:hAnsi="Arial"/>
                <w:b/>
                <w:bCs/>
                <w:sz w:val="18"/>
                <w:szCs w:val="18"/>
              </w:rPr>
              <w:t xml:space="preserve">Ref</w:t>
            </w:r>
          </w:p>
        </w:tc>
        <w:tc>
          <w:tcPr>
            <w:tcW w:type="dxa" w:w="2400"/>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vAlign w:val="top"/>
          </w:tcPr>
          <w:p>
            <w:r>
              <w:rPr>
                <w:rFonts w:ascii="Arial" w:cs="Arial" w:eastAsia="Arial" w:hAnsi="Arial"/>
                <w:b/>
                <w:bCs/>
                <w:sz w:val="18"/>
                <w:szCs w:val="18"/>
              </w:rPr>
              <w:t xml:space="preserve">Location</w:t>
            </w:r>
          </w:p>
        </w:tc>
        <w:tc>
          <w:tcPr>
            <w:tcW w:type="dxa" w:w="5600"/>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vAlign w:val="top"/>
          </w:tcPr>
          <w:p>
            <w:r>
              <w:rPr>
                <w:rFonts w:ascii="Arial" w:cs="Arial" w:eastAsia="Arial" w:hAnsi="Arial"/>
                <w:b/>
                <w:bCs/>
                <w:sz w:val="18"/>
                <w:szCs w:val="18"/>
              </w:rPr>
              <w:t xml:space="preserve">Previous wording</w:t>
            </w:r>
          </w:p>
        </w:tc>
        <w:tc>
          <w:tcPr>
            <w:tcW w:type="dxa" w:w="5600"/>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vAlign w:val="top"/>
          </w:tcPr>
          <w:p>
            <w:r>
              <w:rPr>
                <w:rFonts w:ascii="Arial" w:cs="Arial" w:eastAsia="Arial" w:hAnsi="Arial"/>
                <w:b/>
                <w:bCs/>
                <w:sz w:val="18"/>
                <w:szCs w:val="18"/>
              </w:rPr>
              <w:t xml:space="preserve">New wording</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b/>
                <w:bCs/>
                <w:sz w:val="18"/>
                <w:szCs w:val="18"/>
              </w:rPr>
              <w:t xml:space="preserve">R1</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Home — meta description</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Koios turns the phone and watch people already wear into clinically meaningful measures of life with Parkinson’s — an objective view of every day, well beyond the clinic visit.</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Koios turns everyday movement, captured with a smartphone and smartwatch, into objective, validated kinematic measures for people with Parkinson’s — a view of every day, well beyond the clinic visit.</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b/>
                <w:bCs/>
                <w:sz w:val="18"/>
                <w:szCs w:val="18"/>
              </w:rPr>
              <w:t xml:space="preserve">R2</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Home — “The gap”, paragraph 2</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So medication gets adjusted slowly, decline shows up late, and no one can measure whether care is working. Koios covers that gap — turning the time between visits into objective data that patients and clinicians can act on.</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So the time between visits goes largely unmeasured. Koios covers that gap — giving healthcare professionals objective information between clinic visits, to interpret alongside their clinical assessment.</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b/>
                <w:bCs/>
                <w:sz w:val="18"/>
                <w:szCs w:val="18"/>
              </w:rPr>
              <w:t xml:space="preserve">R3</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Home — “How Koios works” heading</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Everyday devices. Clinically meaningful signal.</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Everyday devices. Objective kinematic measures.</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b/>
                <w:bCs/>
                <w:sz w:val="18"/>
                <w:szCs w:val="18"/>
              </w:rPr>
              <w:t xml:space="preserve">R4</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Home — “How Koios works” lead</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No clinic-grade hardware. No clunky wearables. No daily diary to fill in. Just the phone and smartwatch people already own.</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No clinic-grade hardware. No daily diary to fill in. Just an Android phone and a compatible smartwatch.</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b/>
                <w:bCs/>
                <w:sz w:val="18"/>
                <w:szCs w:val="18"/>
              </w:rPr>
              <w:t xml:space="preserve">R5</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Home — step 1</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Wear what you already wear — A smartphone and a smartwatch. Parkiwatch runs quietly in the background — no tasks to complete, no change to daily routine.</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Wear a smartwatch through the day — An Android smartphone and a compatible smartwatch. Parkiwatch runs in the background, with little change to daily routine.</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b/>
                <w:bCs/>
                <w:sz w:val="18"/>
                <w:szCs w:val="18"/>
              </w:rPr>
              <w:t xml:space="preserve">R6</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Home — “For patients” door card</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…See your own patterns, and feel more in control.</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…See your own patterns, and review them with your healthcare professional.</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b/>
                <w:bCs/>
                <w:sz w:val="18"/>
                <w:szCs w:val="18"/>
              </w:rPr>
              <w:t xml:space="preserve">R7</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Home — “For pharma” door card</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Decentralised trials with real-world measures of quality of life and disease progression.</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Decentralised trials with exploratory, real-world research measures.</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b/>
                <w:bCs/>
                <w:sz w:val="18"/>
                <w:szCs w:val="18"/>
              </w:rPr>
              <w:t xml:space="preserve">R8</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For patients — meta description</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…Objective data for every appointment, from the phone and watch you already wear.</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…Objective data for every appointment, from your Android phone and a compatible smartwatch.</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b/>
                <w:bCs/>
                <w:sz w:val="18"/>
                <w:szCs w:val="18"/>
              </w:rPr>
              <w:t xml:space="preserve">R9</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For patients — hero lead</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…See your own patterns, and feel more in control of the condition.</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…See your own patterns, and review them with your healthcare professional.</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b/>
                <w:bCs/>
                <w:sz w:val="18"/>
                <w:szCs w:val="18"/>
              </w:rPr>
              <w:t xml:space="preserve">R10</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For patients — price card</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Works with devices you already own</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Works with Android phones and compatible smartwatches (linked to the compatibility page)</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b/>
                <w:bCs/>
                <w:sz w:val="18"/>
                <w:szCs w:val="18"/>
              </w:rPr>
              <w:t xml:space="preserve">R11</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For patients — closing section</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Set up Parkiwatch in minutes with devices you already own.</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Set up Parkiwatch in minutes on your Android phone and a compatible smartwatch.</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b/>
                <w:bCs/>
                <w:sz w:val="18"/>
                <w:szCs w:val="18"/>
              </w:rPr>
              <w:t xml:space="preserve">R12</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For clinicians — “Getting started”, step 1</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Enrol the patient in clinic — they install Parkiwatch on their own phone and watch.</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Enrol the patient in clinic — they install Parkiwatch on their Android phone, paired with a compatible smartwatch.</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b/>
                <w:bCs/>
                <w:sz w:val="18"/>
                <w:szCs w:val="18"/>
              </w:rPr>
              <w:t xml:space="preserve">R13</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For clinicians — “Getting started”, step 2</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Passive capture begins immediately, with no tasks for the patient to complete.</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Passive capture begins in the background. Questionnaires are optional and selected by you.</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b/>
                <w:bCs/>
                <w:sz w:val="18"/>
                <w:szCs w:val="18"/>
              </w:rPr>
              <w:t xml:space="preserve">R14</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For clinicians — card “Fits your workflow”</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No new hardware to provision. Patients enrol with their own devices; you review on the web when it suits you.</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No new hardware to provision. Patients enrol with an Android phone and a compatible smartwatch; you review on the web when it suits you.</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b/>
                <w:bCs/>
                <w:sz w:val="18"/>
                <w:szCs w:val="18"/>
              </w:rPr>
              <w:t xml:space="preserve">R15</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For pharma — hero lead and meta description</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Run decentralised trials on real-world measures of quality of life and disease progression. … using devices participants already own.</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Run decentralised trials on exploratory, real-world research measures of quality of life and disease progression. … using everyday consumer devices.</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b/>
                <w:bCs/>
                <w:sz w:val="18"/>
                <w:szCs w:val="18"/>
              </w:rPr>
              <w:t xml:space="preserve">R16</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For pharma — “Why it matters” list</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Better compliance — no tasks or diaries means fewer dropouts and less missing data.</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Better compliance — passive capture lowers participant burden.</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b/>
                <w:bCs/>
                <w:sz w:val="18"/>
                <w:szCs w:val="18"/>
              </w:rPr>
              <w:t xml:space="preserve">R17</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About — hero lead and meta description</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We build clinically meaningful insight from the devices people already use — captured quietly in the background, and shared only when it helps.</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We build objective, validated kinematic measures from everyday devices — captured in the background, and shared with the healthcare professionals you choose.</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b/>
                <w:bCs/>
                <w:sz w:val="18"/>
                <w:szCs w:val="18"/>
              </w:rPr>
              <w:t xml:space="preserve">R18</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All pages — footer tagline</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Clinically meaningful insight from the devices people already use, captured quietly in the background. Starting with Parkinson’s.</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Objective, validated kinematic measures from everyday devices, captured in the background. Starting with Parkinson’s.</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b/>
                <w:bCs/>
                <w:sz w:val="18"/>
                <w:szCs w:val="18"/>
              </w:rPr>
              <w:t xml:space="preserve">R19</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Press release — notice under the date</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(nothing)</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Archive. This announcement was published on 16 June 2025 and predates the current PARKIWATCH Instructions for Use. It does not describe the intended purpose of the device — for that, see the Instructions for Use for patients and for healthcare professionals.</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b/>
                <w:bCs/>
                <w:sz w:val="18"/>
                <w:szCs w:val="18"/>
              </w:rPr>
              <w:t xml:space="preserve">R20</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Instructions for Use pages — “IFU version” label</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Version 4 shown on both the patients page and the healthcare professionals page</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r>
              <w:rPr>
                <w:rFonts w:ascii="Arial" w:cs="Arial" w:eastAsia="Arial" w:hAnsi="Arial"/>
                <w:sz w:val="18"/>
                <w:szCs w:val="18"/>
              </w:rPr>
              <w:t xml:space="preserve">Patients page: version 4. Healthcare professionals page: version 6. Both match the revision history in the published PDFs.</w:t>
            </w:r>
          </w:p>
        </w:tc>
      </w:tr>
    </w:tbl>
    <w:p>
      <w:pPr>
        <w:pStyle w:val="Heading1"/>
        <w:spacing w:after="140" w:before="280"/>
      </w:pPr>
      <w:r>
        <w:rPr>
          <w:rFonts w:ascii="Arial" w:cs="Arial" w:eastAsia="Arial" w:hAnsi="Arial"/>
        </w:rPr>
        <w:t xml:space="preserve">5. Open points</w:t>
      </w:r>
    </w:p>
    <w:p>
      <w:pPr>
        <w:pStyle w:val="ListParagraph"/>
        <w:numPr>
          <w:ilvl w:val="0"/>
          <w:numId w:val="2"/>
        </w:numPr>
        <w:spacing w:after="80"/>
      </w:pPr>
      <w:r>
        <w:rPr>
          <w:rFonts w:ascii="Arial" w:cs="Arial" w:eastAsia="Arial" w:hAnsi="Arial"/>
          <w:sz w:val="20"/>
          <w:szCs w:val="20"/>
        </w:rPr>
        <w:t xml:space="preserve">Live content management system: the clinician testimonial (H2) and the previous FAQ entries (P11 to P14), including “Koios Care is a wellness solution”, are still served on the live site until the patch is applied and the two obsolete entries (the clinician quote and the 57% statistic) are deleted.</w:t>
      </w:r>
    </w:p>
    <w:p>
      <w:pPr>
        <w:pStyle w:val="ListParagraph"/>
        <w:numPr>
          <w:ilvl w:val="0"/>
          <w:numId w:val="2"/>
        </w:numPr>
        <w:spacing w:after="80"/>
      </w:pPr>
      <w:r>
        <w:rPr>
          <w:rFonts w:ascii="Arial" w:cs="Arial" w:eastAsia="Arial" w:hAnsi="Arial"/>
          <w:sz w:val="20"/>
          <w:szCs w:val="20"/>
        </w:rPr>
        <w:t xml:space="preserve">Terms of Use page (/tos): still describes the product as a “wellness device” that is “not a medical device”, including Article 3, and disclaims fitness for any medical purpose. The terms as a whole are written for a wellness product, so they need to be redrafted by the owner of the terms rather than reworded on the website.</w:t>
      </w:r>
    </w:p>
    <w:p>
      <w:pPr>
        <w:pStyle w:val="ListParagraph"/>
        <w:numPr>
          <w:ilvl w:val="0"/>
          <w:numId w:val="2"/>
        </w:numPr>
        <w:spacing w:after="80"/>
      </w:pPr>
      <w:r>
        <w:rPr>
          <w:rFonts w:ascii="Arial" w:cs="Arial" w:eastAsia="Arial" w:hAnsi="Arial"/>
          <w:sz w:val="20"/>
          <w:szCs w:val="20"/>
        </w:rPr>
        <w:t xml:space="preserve">French patient Instructions for Use: the revision history in the published PDF ends at version 3, while the page shows version 4 and the cover carries the 05/10/2026 issue date. To be checked in the controlled document.</w:t>
      </w:r>
    </w:p>
    <w:p>
      <w:pPr>
        <w:pStyle w:val="ListParagraph"/>
        <w:numPr>
          <w:ilvl w:val="0"/>
          <w:numId w:val="2"/>
        </w:numPr>
        <w:spacing w:after="80"/>
      </w:pPr>
      <w:r>
        <w:rPr>
          <w:rFonts w:ascii="Arial" w:cs="Arial" w:eastAsia="Arial" w:hAnsi="Arial"/>
          <w:sz w:val="20"/>
          <w:szCs w:val="20"/>
        </w:rPr>
        <w:t xml:space="preserve">Press release of 16 June 2025: its original text is kept unchanged, with the archive notice in R19 added above it.</w:t>
      </w:r>
    </w:p>
    <w:p>
      <w:pPr>
        <w:pStyle w:val="ListParagraph"/>
        <w:numPr>
          <w:ilvl w:val="0"/>
          <w:numId w:val="2"/>
        </w:numPr>
        <w:spacing w:after="80"/>
      </w:pPr>
      <w:r>
        <w:rPr>
          <w:rFonts w:ascii="Arial" w:cs="Arial" w:eastAsia="Arial" w:hAnsi="Arial"/>
          <w:sz w:val="20"/>
          <w:szCs w:val="20"/>
        </w:rPr>
        <w:t xml:space="preserve">H5: the figure of 5 hospital research sites is taken from the five hospitals listed on the site and should be confirmed against the KC-QI-2023 study records.</w:t>
      </w:r>
    </w:p>
    <w:sectPr>
      <w:footerReference w:type="default" r:id="rId6"/>
      <w:pgSz w:w="16838" w:h="11906" w:orient="landscape"/>
      <w:pgMar w:top="1000" w:right="1200" w:bottom="100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7F7F7F"/>
        <w:sz w:val="16"/>
        <w:szCs w:val="16"/>
      </w:rPr>
      <w:t xml:space="preserve">Website wording change log · NC-46 · page </w:t>
    </w:r>
    <w:r>
      <w:rPr>
        <w:rFonts w:ascii="Arial" w:cs="Arial" w:eastAsia="Arial" w:hAnsi="Arial"/>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5B112F"/>
      <w:sz w:val="28"/>
      <w:szCs w:val="28"/>
    </w:rPr>
  </w:style>
  <w:style w:type="paragraph" w:styleId="Heading2">
    <w:name w:val="Heading 2"/>
    <w:basedOn w:val="Normal"/>
    <w:next w:val="Normal"/>
    <w:qFormat/>
    <w:pPr>
      <w:keepNext/>
      <w:outlineLvl w:val="1"/>
    </w:pPr>
    <w:rPr>
      <w:rFonts w:ascii="Arial" w:cs="Arial" w:eastAsia="Arial" w:hAnsi="Arial"/>
      <w:b/>
      <w:b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2026-10-09T10:42:36.000Z</dcterms:created>
  <dcterms:modified xsi:type="dcterms:W3CDTF">2026-10-09T10:42:36.001Z</dcterms:modified>
</cp:coreProperties>
</file>

<file path=docProps/custom.xml><?xml version="1.0" encoding="utf-8"?>
<Properties xmlns="http://schemas.openxmlformats.org/officeDocument/2006/custom-properties" xmlns:vt="http://schemas.openxmlformats.org/officeDocument/2006/docPropsVTypes"/>
</file>