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18626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418626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5b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d5b00"/>
          <w:sz w:val="18"/>
          <w:szCs w:val="18"/>
          <w:u w:val="none"/>
          <w:shd w:fill="auto" w:val="clear"/>
          <w:vertAlign w:val="baseline"/>
          <w:rtl w:val="0"/>
        </w:rPr>
        <w:t xml:space="preserve">242 勤務条件</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f3f00"/>
          <w:sz w:val="18"/>
          <w:szCs w:val="18"/>
          <w:u w:val="none"/>
          <w:shd w:fill="auto" w:val="clear"/>
          <w:vertAlign w:val="baseline"/>
        </w:rPr>
      </w:pPr>
      <w:r w:rsidDel="00000000" w:rsidR="00000000" w:rsidRPr="00000000">
        <w:rPr>
          <w:rFonts w:ascii="Gungsuh" w:cs="Gungsuh" w:eastAsia="Gungsuh" w:hAnsi="Gungsuh"/>
          <w:b w:val="0"/>
          <w:i w:val="0"/>
          <w:smallCaps w:val="0"/>
          <w:strike w:val="0"/>
          <w:color w:val="3f3f00"/>
          <w:sz w:val="18"/>
          <w:szCs w:val="18"/>
          <w:u w:val="none"/>
          <w:shd w:fill="auto" w:val="clear"/>
          <w:vertAlign w:val="baseline"/>
          <w:rtl w:val="0"/>
        </w:rPr>
        <w:t xml:space="preserve">2 旅</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c4c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c4c00"/>
          <w:sz w:val="18"/>
          <w:szCs w:val="18"/>
          <w:u w:val="none"/>
          <w:shd w:fill="auto" w:val="clear"/>
          <w:vertAlign w:val="baseline"/>
          <w:rtl w:val="0"/>
        </w:rPr>
        <w:t xml:space="preserve">費</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845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84500"/>
          <w:sz w:val="18"/>
          <w:szCs w:val="18"/>
          <w:u w:val="none"/>
          <w:shd w:fill="auto" w:val="clear"/>
          <w:vertAlign w:val="baseline"/>
          <w:rtl w:val="0"/>
        </w:rPr>
        <w:t xml:space="preserve">(1) 旅費の性格</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5b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d5b00"/>
          <w:sz w:val="18"/>
          <w:szCs w:val="18"/>
          <w:u w:val="none"/>
          <w:shd w:fill="auto" w:val="clear"/>
          <w:vertAlign w:val="baseline"/>
          <w:rtl w:val="0"/>
        </w:rPr>
        <w:t xml:space="preserve">職員が公務のために旅行した場合には、旅費を支給する。 旅費は、公務旅行中に必要と される交通費、宿泊料等の費用に充てるため支給するもので、その性格は実費の弁償と解 され、労働の対価として支給する給与とは異なる。</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848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84800"/>
          <w:sz w:val="18"/>
          <w:szCs w:val="18"/>
          <w:u w:val="none"/>
          <w:shd w:fill="auto" w:val="clear"/>
          <w:vertAlign w:val="baseline"/>
          <w:rtl w:val="0"/>
        </w:rPr>
        <w:t xml:space="preserve">現行制度上も、給与条例第2条第2項において「公務について生じた実費の弁償は、給 与に含まれない。」と規定され、税法上の取扱いも実費の弁償として、所得税法第9条第 1項第4号により非課税とされている。</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a3a00"/>
          <w:sz w:val="18"/>
          <w:szCs w:val="18"/>
          <w:u w:val="none"/>
          <w:shd w:fill="auto" w:val="clear"/>
          <w:vertAlign w:val="baseline"/>
        </w:rPr>
      </w:pPr>
      <w:r w:rsidDel="00000000" w:rsidR="00000000" w:rsidRPr="00000000">
        <w:rPr>
          <w:rFonts w:ascii="Gungsuh" w:cs="Gungsuh" w:eastAsia="Gungsuh" w:hAnsi="Gungsuh"/>
          <w:b w:val="0"/>
          <w:i w:val="0"/>
          <w:smallCaps w:val="0"/>
          <w:strike w:val="0"/>
          <w:color w:val="3a3a00"/>
          <w:sz w:val="18"/>
          <w:szCs w:val="18"/>
          <w:u w:val="none"/>
          <w:shd w:fill="auto" w:val="clear"/>
          <w:vertAlign w:val="baseline"/>
          <w:rtl w:val="0"/>
        </w:rPr>
        <w:t xml:space="preserve">(2) 旅費についての根拠規定</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2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26200"/>
          <w:sz w:val="18"/>
          <w:szCs w:val="18"/>
          <w:u w:val="none"/>
          <w:shd w:fill="auto" w:val="clear"/>
          <w:vertAlign w:val="baseline"/>
          <w:rtl w:val="0"/>
        </w:rPr>
        <w:t xml:space="preserve">1 地公法第24条第5項の適用される一般職の職員及び地教行法第42条の適用される 職員(県費負担教職員)</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36100"/>
          <w:sz w:val="18"/>
          <w:szCs w:val="18"/>
          <w:u w:val="none"/>
          <w:shd w:fill="auto" w:val="clear"/>
          <w:vertAlign w:val="baseline"/>
          <w:rtl w:val="0"/>
        </w:rPr>
        <w:t xml:space="preserve">旅費条例</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9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76900"/>
          <w:sz w:val="18"/>
          <w:szCs w:val="18"/>
          <w:u w:val="none"/>
          <w:shd w:fill="auto" w:val="clear"/>
          <w:vertAlign w:val="baseline"/>
          <w:rtl w:val="0"/>
        </w:rPr>
        <w:t xml:space="preserve">2地公企法の適用職員</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3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36300"/>
          <w:sz w:val="18"/>
          <w:szCs w:val="18"/>
          <w:u w:val="none"/>
          <w:shd w:fill="auto" w:val="clear"/>
          <w:vertAlign w:val="baseline"/>
          <w:rtl w:val="0"/>
        </w:rPr>
        <w:t xml:space="preserve">企業管理規程等</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7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f7100"/>
          <w:sz w:val="18"/>
          <w:szCs w:val="18"/>
          <w:u w:val="none"/>
          <w:shd w:fill="auto" w:val="clear"/>
          <w:vertAlign w:val="baseline"/>
          <w:rtl w:val="0"/>
        </w:rPr>
        <w:t xml:space="preserve">3 単純労務職員</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d6800"/>
          <w:sz w:val="18"/>
          <w:szCs w:val="18"/>
          <w:u w:val="none"/>
          <w:shd w:fill="auto" w:val="clear"/>
          <w:vertAlign w:val="baseline"/>
          <w:rtl w:val="0"/>
        </w:rPr>
        <w:t xml:space="preserve">地公法第57条に規定する単純な労務に雇用される職員の旅費規程</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74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47400"/>
          <w:sz w:val="18"/>
          <w:szCs w:val="18"/>
          <w:u w:val="none"/>
          <w:shd w:fill="auto" w:val="clear"/>
          <w:vertAlign w:val="baseline"/>
          <w:rtl w:val="0"/>
        </w:rPr>
        <w:t xml:space="preserve">4特別職の職員</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5e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05e00"/>
          <w:sz w:val="18"/>
          <w:szCs w:val="18"/>
          <w:u w:val="none"/>
          <w:shd w:fill="auto" w:val="clear"/>
          <w:vertAlign w:val="baseline"/>
          <w:rtl w:val="0"/>
        </w:rPr>
        <w:t xml:space="preserve">東京都知事等の給料等に関する条例、 東京都議会議員の議員報酬 費用弁償及び期 末手当に関する条例等</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2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46200"/>
          <w:sz w:val="18"/>
          <w:szCs w:val="18"/>
          <w:u w:val="none"/>
          <w:shd w:fill="auto" w:val="clear"/>
          <w:vertAlign w:val="baseline"/>
          <w:rtl w:val="0"/>
        </w:rPr>
        <w:t xml:space="preserve">5教育長</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c6c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c6c00"/>
          <w:sz w:val="18"/>
          <w:szCs w:val="18"/>
          <w:u w:val="none"/>
          <w:shd w:fill="auto" w:val="clear"/>
          <w:vertAlign w:val="baseline"/>
          <w:rtl w:val="0"/>
        </w:rPr>
        <w:t xml:space="preserve">東京都教育委員会教育長の給与等に関する条例</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c9c00"/>
          <w:sz w:val="18"/>
          <w:szCs w:val="18"/>
          <w:u w:val="none"/>
          <w:shd w:fill="auto" w:val="clear"/>
          <w:vertAlign w:val="baseline"/>
        </w:rPr>
      </w:pPr>
      <w:r w:rsidDel="00000000" w:rsidR="00000000" w:rsidRPr="00000000">
        <w:rPr>
          <w:rFonts w:ascii="Gungsuh" w:cs="Gungsuh" w:eastAsia="Gungsuh" w:hAnsi="Gungsuh"/>
          <w:b w:val="0"/>
          <w:i w:val="0"/>
          <w:smallCaps w:val="0"/>
          <w:strike w:val="0"/>
          <w:color w:val="9c9c00"/>
          <w:sz w:val="18"/>
          <w:szCs w:val="18"/>
          <w:u w:val="none"/>
          <w:shd w:fill="auto" w:val="clear"/>
          <w:vertAlign w:val="baseline"/>
          <w:rtl w:val="0"/>
        </w:rPr>
        <w:t xml:space="preserve">(3) 旅行の種類及び意義</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f5d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f5d00"/>
          <w:sz w:val="18"/>
          <w:szCs w:val="18"/>
          <w:u w:val="none"/>
          <w:shd w:fill="auto" w:val="clear"/>
          <w:vertAlign w:val="baseline"/>
          <w:rtl w:val="0"/>
        </w:rPr>
        <w:t xml:space="preserve">旅費条例に規定する旅費は、 旅行の性格により出張、赴任及びその他の公務旅行(研修 旅行等)に、旅行目的地により内国旅行及び外国旅行に区分される。 内国旅行及び外国旅 行は、更に近接地内旅行と近接地外旅行とに区分されるが、 これらの意義は次のとおりで ある。</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553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55300"/>
          <w:sz w:val="18"/>
          <w:szCs w:val="18"/>
          <w:u w:val="none"/>
          <w:shd w:fill="auto" w:val="clear"/>
          <w:vertAlign w:val="baseline"/>
          <w:rtl w:val="0"/>
        </w:rPr>
        <w:t xml:space="preserve">ア出</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f4f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f4f00"/>
          <w:sz w:val="18"/>
          <w:szCs w:val="18"/>
          <w:u w:val="none"/>
          <w:shd w:fill="auto" w:val="clear"/>
          <w:vertAlign w:val="baseline"/>
          <w:rtl w:val="0"/>
        </w:rPr>
        <w:t xml:space="preserve">張</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26000"/>
          <w:sz w:val="18"/>
          <w:szCs w:val="18"/>
          <w:u w:val="none"/>
          <w:shd w:fill="auto" w:val="clear"/>
          <w:vertAlign w:val="baseline"/>
          <w:rtl w:val="0"/>
        </w:rPr>
        <w:t xml:space="preserve">出張とは、職員が公務のため一時その在勤庁を離れて旅行することをいう。 在勤庁は、 その職員の勤務する組織上の部署又はこれに準ずるものである。</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06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606000"/>
          <w:sz w:val="18"/>
          <w:szCs w:val="18"/>
          <w:u w:val="none"/>
          <w:shd w:fill="auto" w:val="clear"/>
          <w:vertAlign w:val="baseline"/>
          <w:rtl w:val="0"/>
        </w:rPr>
        <w:t xml:space="preserve">イ赴</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343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34300"/>
          <w:sz w:val="18"/>
          <w:szCs w:val="18"/>
          <w:u w:val="none"/>
          <w:shd w:fill="auto" w:val="clear"/>
          <w:vertAlign w:val="baseline"/>
          <w:rtl w:val="0"/>
        </w:rPr>
        <w:t xml:space="preserve">任</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6b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06b00"/>
          <w:sz w:val="18"/>
          <w:szCs w:val="18"/>
          <w:u w:val="none"/>
          <w:shd w:fill="auto" w:val="clear"/>
          <w:vertAlign w:val="baseline"/>
          <w:rtl w:val="0"/>
        </w:rPr>
        <w:t xml:space="preserve">赴任とは、 1都の要請に基づいて国、 他の地方公共団体等を退職し、引き続いて採用さ れた職員、 2 任命権者があらかじめ人事委員会と協議して指定した職に充てるため採用さ</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97900"/>
          <w:sz w:val="18"/>
          <w:szCs w:val="18"/>
          <w:u w:val="none"/>
          <w:shd w:fill="auto" w:val="clear"/>
          <w:vertAlign w:val="baseline"/>
        </w:rPr>
      </w:pPr>
      <w:r w:rsidDel="00000000" w:rsidR="00000000" w:rsidRPr="00000000">
        <w:rPr>
          <w:rFonts w:ascii="Gungsuh" w:cs="Gungsuh" w:eastAsia="Gungsuh" w:hAnsi="Gungsuh"/>
          <w:b w:val="0"/>
          <w:i w:val="0"/>
          <w:smallCaps w:val="0"/>
          <w:strike w:val="0"/>
          <w:color w:val="797900"/>
          <w:sz w:val="18"/>
          <w:szCs w:val="18"/>
          <w:u w:val="none"/>
          <w:shd w:fill="auto" w:val="clear"/>
          <w:vertAlign w:val="baseline"/>
          <w:rtl w:val="0"/>
        </w:rPr>
        <w:t xml:space="preserve">勤務条件 243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f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f00"/>
          <w:sz w:val="18"/>
          <w:szCs w:val="18"/>
          <w:u w:val="none"/>
          <w:shd w:fill="auto" w:val="clear"/>
          <w:vertAlign w:val="baseline"/>
          <w:rtl w:val="0"/>
        </w:rPr>
        <w:t xml:space="preserve">れた職員が、採用に伴う移転のため住所又は居所から在勤庁に旅行すること、3転任を命 ぜられた職員が転任に伴う移転のため旧在勤庁から新在勤庁に旅行すること、4住所又 は居所を移転する者で任命権者が人事委員会と協議して特別の事情があると認められたも のが、移転のため旅行することをいう。</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644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64400"/>
          <w:sz w:val="18"/>
          <w:szCs w:val="18"/>
          <w:u w:val="none"/>
          <w:shd w:fill="auto" w:val="clear"/>
          <w:vertAlign w:val="baseline"/>
          <w:rtl w:val="0"/>
        </w:rPr>
        <w:t xml:space="preserve">その他の公務旅行</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3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36300"/>
          <w:sz w:val="18"/>
          <w:szCs w:val="18"/>
          <w:u w:val="none"/>
          <w:shd w:fill="auto" w:val="clear"/>
          <w:vertAlign w:val="baseline"/>
          <w:rtl w:val="0"/>
        </w:rPr>
        <w:t xml:space="preserve">出張及び赴任を除き、 公務で旅行することをいう。 職員の死亡、 退職等に係る旅行、 研 修旅行及び健康診断受診等のための旅行がある。</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d4d00"/>
          <w:sz w:val="18"/>
          <w:szCs w:val="18"/>
          <w:u w:val="none"/>
          <w:shd w:fill="auto" w:val="clear"/>
          <w:vertAlign w:val="baseline"/>
          <w:rtl w:val="0"/>
        </w:rPr>
        <w:t xml:space="preserve">ェ 近接地内旅行</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959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95900"/>
          <w:sz w:val="18"/>
          <w:szCs w:val="18"/>
          <w:u w:val="none"/>
          <w:shd w:fill="auto" w:val="clear"/>
          <w:vertAlign w:val="baseline"/>
          <w:rtl w:val="0"/>
        </w:rPr>
        <w:t xml:space="preserve">近接地内旅行とは、人委規則で定める地域への旅行をいう。 これは、 内国旅行にあって は、島しょを除いた都の区域を中心に交通機関、 交通網が整備されており、時間等の面で 利便性が高いことから、都独自の制度として設けられているものである。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05000"/>
          <w:sz w:val="18"/>
          <w:szCs w:val="18"/>
          <w:u w:val="none"/>
          <w:shd w:fill="auto" w:val="clear"/>
          <w:vertAlign w:val="baseline"/>
          <w:rtl w:val="0"/>
        </w:rPr>
        <w:t xml:space="preserve">才近接地外旅行</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e4e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e4e00"/>
          <w:sz w:val="18"/>
          <w:szCs w:val="18"/>
          <w:u w:val="none"/>
          <w:shd w:fill="auto" w:val="clear"/>
          <w:vertAlign w:val="baseline"/>
          <w:rtl w:val="0"/>
        </w:rPr>
        <w:t xml:space="preserve">近接地外旅行とは、 近接地内旅行以外の全ての旅行をいう。</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d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f4d00"/>
          <w:sz w:val="18"/>
          <w:szCs w:val="18"/>
          <w:u w:val="none"/>
          <w:shd w:fill="auto" w:val="clear"/>
          <w:vertAlign w:val="baseline"/>
          <w:rtl w:val="0"/>
        </w:rPr>
        <w:t xml:space="preserve">(4) 旅行命令</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d4d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d4d00"/>
          <w:sz w:val="18"/>
          <w:szCs w:val="18"/>
          <w:u w:val="none"/>
          <w:shd w:fill="auto" w:val="clear"/>
          <w:vertAlign w:val="baseline"/>
          <w:rtl w:val="0"/>
        </w:rPr>
        <w:t xml:space="preserve">旅費を支給するためには、 旅行命令又は旅行依頼 (以下「旅行命令等」という。) がな され、この旅行命令等に基づいて旅行が行われることが必要である。 旅行命令等は、 1 電 信、電話、郵便等の通信による連絡手段によっては公務の円滑な遂行を図ることができな い場合で、かつ、 2 予算上旅費の支出が可能である場合に限り、旅行命令権者(任命権者 又は任命権者の委任を受けた者) が発することができる。</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4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45400"/>
          <w:sz w:val="18"/>
          <w:szCs w:val="18"/>
          <w:u w:val="none"/>
          <w:shd w:fill="auto" w:val="clear"/>
          <w:vertAlign w:val="baseline"/>
          <w:rtl w:val="0"/>
        </w:rPr>
        <w:t xml:space="preserve">また、旅行命令等の発令は原則として、 旅行命令簿等によって行わなければならない。</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c4c00"/>
          <w:sz w:val="18"/>
          <w:szCs w:val="18"/>
          <w:u w:val="none"/>
          <w:shd w:fill="auto" w:val="clear"/>
          <w:vertAlign w:val="baseline"/>
        </w:rPr>
      </w:pPr>
      <w:r w:rsidDel="00000000" w:rsidR="00000000" w:rsidRPr="00000000">
        <w:rPr>
          <w:rFonts w:ascii="Gungsuh" w:cs="Gungsuh" w:eastAsia="Gungsuh" w:hAnsi="Gungsuh"/>
          <w:b w:val="0"/>
          <w:i w:val="0"/>
          <w:smallCaps w:val="0"/>
          <w:strike w:val="0"/>
          <w:color w:val="4c4c00"/>
          <w:sz w:val="18"/>
          <w:szCs w:val="18"/>
          <w:u w:val="none"/>
          <w:shd w:fill="auto" w:val="clear"/>
          <w:vertAlign w:val="baseline"/>
          <w:rtl w:val="0"/>
        </w:rPr>
        <w:t xml:space="preserve">(5) 旅費の請求権</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18100"/>
          <w:sz w:val="18"/>
          <w:szCs w:val="18"/>
          <w:u w:val="none"/>
          <w:shd w:fill="auto" w:val="clear"/>
          <w:vertAlign w:val="baseline"/>
        </w:rPr>
      </w:pPr>
      <w:r w:rsidDel="00000000" w:rsidR="00000000" w:rsidRPr="00000000">
        <w:rPr>
          <w:rFonts w:ascii="Gungsuh" w:cs="Gungsuh" w:eastAsia="Gungsuh" w:hAnsi="Gungsuh"/>
          <w:b w:val="0"/>
          <w:i w:val="0"/>
          <w:smallCaps w:val="0"/>
          <w:strike w:val="0"/>
          <w:color w:val="818100"/>
          <w:sz w:val="18"/>
          <w:szCs w:val="18"/>
          <w:u w:val="none"/>
          <w:shd w:fill="auto" w:val="clear"/>
          <w:vertAlign w:val="baseline"/>
          <w:rtl w:val="0"/>
        </w:rPr>
        <w:t xml:space="preserve">旅費を支給するためには、 その前提として旅行命令権者の発する旅行命令等が行われ、 旅行命令等に基づいた旅行の事実があること及び条例に定める所定の手続による請求を行 うことが必要となる。</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3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36300"/>
          <w:sz w:val="18"/>
          <w:szCs w:val="18"/>
          <w:u w:val="none"/>
          <w:shd w:fill="auto" w:val="clear"/>
          <w:vertAlign w:val="baseline"/>
          <w:rtl w:val="0"/>
        </w:rPr>
        <w:t xml:space="preserve">職員に支給する旅費の支払は、資金前渡によることとされている (会計規則 §81· I )。 また、旅費の支給は確定払が原則であるが、 多額の経費を要する旅行などにあっては概算 払によることができる (会計規則 §83 I1)。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55500"/>
          <w:sz w:val="18"/>
          <w:szCs w:val="18"/>
          <w:u w:val="none"/>
          <w:shd w:fill="auto" w:val="clear"/>
          <w:vertAlign w:val="baseline"/>
        </w:rPr>
      </w:pPr>
      <w:r w:rsidDel="00000000" w:rsidR="00000000" w:rsidRPr="00000000">
        <w:rPr>
          <w:rFonts w:ascii="Gungsuh" w:cs="Gungsuh" w:eastAsia="Gungsuh" w:hAnsi="Gungsuh"/>
          <w:b w:val="0"/>
          <w:i w:val="0"/>
          <w:smallCaps w:val="0"/>
          <w:strike w:val="0"/>
          <w:color w:val="555500"/>
          <w:sz w:val="18"/>
          <w:szCs w:val="18"/>
          <w:u w:val="none"/>
          <w:shd w:fill="auto" w:val="clear"/>
          <w:vertAlign w:val="baseline"/>
          <w:rtl w:val="0"/>
        </w:rPr>
        <w:t xml:space="preserve">(6) 旅費の計算</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6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96700"/>
          <w:sz w:val="18"/>
          <w:szCs w:val="18"/>
          <w:u w:val="none"/>
          <w:shd w:fill="auto" w:val="clear"/>
          <w:vertAlign w:val="baseline"/>
          <w:rtl w:val="0"/>
        </w:rPr>
        <w:t xml:space="preserve">旅費の計算は、 旅行命令等に基づき、 公務上の必要又は天災その他やむを得ない事情の 場合を除いて、最も経済的な通常の経路及び方法によるのが原則である (旅費条例 §7)。 したがって、 通常用いる経路及び方法が一つしかないときはそれによるが、二つ以上あ るときは、そのうちの最も費用の掛からない経路及び方法によって計算する。</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