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软件性能测试报告"/>
    <w:p>
      <w:pPr>
        <w:pStyle w:val="Heading1"/>
      </w:pPr>
      <w:r>
        <w:t xml:space="preserve">软件性能测试报告</w:t>
      </w:r>
    </w:p>
    <w:p>
      <w:pPr>
        <w:pStyle w:val="FirstParagraph"/>
      </w:pPr>
      <w:r>
        <w:rPr>
          <w:bCs/>
          <w:b/>
        </w:rPr>
        <w:t xml:space="preserve">项目名称</w:t>
      </w:r>
      <w:r>
        <w:t xml:space="preserve">：面向麒麟操作系统的安全智能运维 Agent</w:t>
      </w:r>
      <w:r>
        <w:t xml:space="preserve"> </w:t>
      </w:r>
      <w:r>
        <w:rPr>
          <w:bCs/>
          <w:b/>
        </w:rPr>
        <w:t xml:space="preserve">赛题编号</w:t>
      </w:r>
      <w:r>
        <w:t xml:space="preserve">：中国软件杯 A2</w:t>
      </w:r>
      <w:r>
        <w:t xml:space="preserve"> </w:t>
      </w:r>
      <w:r>
        <w:rPr>
          <w:bCs/>
          <w:b/>
        </w:rPr>
        <w:t xml:space="preserve">文档版本</w:t>
      </w:r>
      <w:r>
        <w:t xml:space="preserve">：v1.2</w:t>
      </w:r>
    </w:p>
    <w:p>
      <w:r>
        <w:pict>
          <v:rect style="width:0;height:1.5pt" o:hralign="center" o:hrstd="t" o:hr="t"/>
        </w:pict>
      </w:r>
    </w:p>
    <w:bookmarkStart w:id="23" w:name="测试概述"/>
    <w:p>
      <w:pPr>
        <w:pStyle w:val="Heading2"/>
      </w:pPr>
      <w:r>
        <w:t xml:space="preserve">1 测试概述</w:t>
      </w:r>
    </w:p>
    <w:bookmarkStart w:id="20" w:name="测试目的"/>
    <w:p>
      <w:pPr>
        <w:pStyle w:val="Heading3"/>
      </w:pPr>
      <w:r>
        <w:t xml:space="preserve">1.1 测试目的</w:t>
      </w:r>
    </w:p>
    <w:p>
      <w:pPr>
        <w:pStyle w:val="FirstParagraph"/>
      </w:pPr>
      <w:r>
        <w:t xml:space="preserve">本次性能测试旨在全面量化系统的核心性能指标，既包括时间维度的延迟与吞吐，也包括资源维度的内存占用、处理器占用、并发处理能力与长时间运行的稳定性。测试需要回答以下几个问题：安全护栏本身引入的处理开销有多大，是否会拖慢运维；系统在持续负载与并发负载下的处理能力与资源消耗如何；系统长时间运行是否稳定、是否存在内存泄漏；审计留痕带来的存储成本是否可控；以及一次自然语言对话的端到端延迟主要由什么因素主导。</w:t>
      </w:r>
    </w:p>
    <w:bookmarkEnd w:id="20"/>
    <w:bookmarkStart w:id="21" w:name="测试方法"/>
    <w:p>
      <w:pPr>
        <w:pStyle w:val="Heading3"/>
      </w:pPr>
      <w:r>
        <w:t xml:space="preserve">1.2 测试方法</w:t>
      </w:r>
    </w:p>
    <w:p>
      <w:pPr>
        <w:pStyle w:val="FirstParagraph"/>
      </w:pPr>
      <w:r>
        <w:t xml:space="preserve">性能数据由项目内置的两个基准脚本自动采集生成，未经人工修改。延迟与吞吐由延迟基准脚本采集，对护栏裁决、注入扫描、意图分类与根因推理进行单次延迟采样与批量吞吐测量。内存、处理器、并发、长稳、存储与冷启动等资源类指标由资源基准脚本采集，其中并发吞吐采用线程池在固定总裁决量下以不同并发度分摊、度量墙钟吞吐，长稳指标通过连续二十万次裁决前后的常驻内存增量来判断是否存在泄漏，审计存储成本则直接统计实际审计库的会话数、思维段数与占用字节后折算。在度量端到端对话延迟时，先以确定性桩隔离出本地处理开销，再叠加真实 DeepSeek 的网络往返区间进行估算，从而把本地处理开销与模型往返开销区分开来。</w:t>
      </w:r>
    </w:p>
    <w:bookmarkEnd w:id="21"/>
    <w:bookmarkStart w:id="22" w:name="测试环境"/>
    <w:p>
      <w:pPr>
        <w:pStyle w:val="Heading3"/>
      </w:pPr>
      <w:r>
        <w:t xml:space="preserve">1.3 测试环境</w:t>
      </w:r>
    </w:p>
    <w:p>
      <w:pPr>
        <w:pStyle w:val="FirstParagraph"/>
      </w:pPr>
      <w:r>
        <w:t xml:space="preserve">延迟与吞吐指标的采样时间为 2026 年 6 月 10 日，资源类指标的采样时间为 2026 年 6 月 24 日，两次采样均在同一开发环境下进行。测试环境为 Python 3.11.15、x86_64 架构的 Linux 平台，测试机具有 32 个处理器核心与约 16.6 GB 内存。</w:t>
      </w:r>
    </w:p>
    <w:bookmarkEnd w:id="22"/>
    <w:bookmarkEnd w:id="23"/>
    <w:bookmarkStart w:id="24" w:name="护栏与推理延迟"/>
    <w:p>
      <w:pPr>
        <w:pStyle w:val="Heading2"/>
      </w:pPr>
      <w:r>
        <w:t xml:space="preserve">2 护栏与推理延迟</w:t>
      </w:r>
    </w:p>
    <w:p>
      <w:pPr>
        <w:pStyle w:val="FirstParagraph"/>
      </w:pPr>
      <w:r>
        <w:t xml:space="preserve">针对护栏与推理的各个环节进行单次调用的延迟采样，每项采样 300 次，结果如表 5.1 所示。护栏的命令裁决均值约为 229 微秒，注入扫描与意图分类均在数十微秒量级，跨信号关联的根因推理均值约为 61 微秒。可见护栏裁决处于数十至数百微秒的亚毫秒量级，相对于一次完整的运维操作可以忽略，这为安全护栏不拖慢运维提供了量化支撑。</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指标项</w:t>
            </w:r>
          </w:p>
        </w:tc>
        <w:tc>
          <w:tcPr/>
          <w:p>
            <w:pPr>
              <w:pStyle w:val="Compact"/>
              <w:jc w:val="right"/>
            </w:pPr>
            <w:r>
              <w:t xml:space="preserve">采样次数</w:t>
            </w:r>
          </w:p>
        </w:tc>
        <w:tc>
          <w:tcPr/>
          <w:p>
            <w:pPr>
              <w:pStyle w:val="Compact"/>
              <w:jc w:val="right"/>
            </w:pPr>
            <w:r>
              <w:t xml:space="preserve">均值（微秒）</w:t>
            </w:r>
          </w:p>
        </w:tc>
        <w:tc>
          <w:tcPr/>
          <w:p>
            <w:pPr>
              <w:pStyle w:val="Compact"/>
              <w:jc w:val="right"/>
            </w:pPr>
            <w:r>
              <w:t xml:space="preserve">P50（微秒）</w:t>
            </w:r>
          </w:p>
        </w:tc>
        <w:tc>
          <w:tcPr/>
          <w:p>
            <w:pPr>
              <w:pStyle w:val="Compact"/>
              <w:jc w:val="right"/>
            </w:pPr>
            <w:r>
              <w:t xml:space="preserve">P95（微秒）</w:t>
            </w:r>
          </w:p>
        </w:tc>
        <w:tc>
          <w:tcPr/>
          <w:p>
            <w:pPr>
              <w:pStyle w:val="Compact"/>
              <w:jc w:val="right"/>
            </w:pPr>
            <w:r>
              <w:t xml:space="preserve">P99（微秒）</w:t>
            </w:r>
          </w:p>
        </w:tc>
      </w:tr>
      <w:tr>
        <w:tc>
          <w:tcPr/>
          <w:p>
            <w:pPr>
              <w:pStyle w:val="Compact"/>
              <w:jc w:val="left"/>
            </w:pPr>
            <w:r>
              <w:t xml:space="preserve">护栏命令裁决</w:t>
            </w:r>
          </w:p>
        </w:tc>
        <w:tc>
          <w:tcPr/>
          <w:p>
            <w:pPr>
              <w:pStyle w:val="Compact"/>
              <w:jc w:val="right"/>
            </w:pPr>
            <w:r>
              <w:t xml:space="preserve">300</w:t>
            </w:r>
          </w:p>
        </w:tc>
        <w:tc>
          <w:tcPr/>
          <w:p>
            <w:pPr>
              <w:pStyle w:val="Compact"/>
              <w:jc w:val="right"/>
            </w:pPr>
            <w:r>
              <w:t xml:space="preserve">229.3</w:t>
            </w:r>
          </w:p>
        </w:tc>
        <w:tc>
          <w:tcPr/>
          <w:p>
            <w:pPr>
              <w:pStyle w:val="Compact"/>
              <w:jc w:val="right"/>
            </w:pPr>
            <w:r>
              <w:t xml:space="preserve">214.7</w:t>
            </w:r>
          </w:p>
        </w:tc>
        <w:tc>
          <w:tcPr/>
          <w:p>
            <w:pPr>
              <w:pStyle w:val="Compact"/>
              <w:jc w:val="right"/>
            </w:pPr>
            <w:r>
              <w:t xml:space="preserve">378.0</w:t>
            </w:r>
          </w:p>
        </w:tc>
        <w:tc>
          <w:tcPr/>
          <w:p>
            <w:pPr>
              <w:pStyle w:val="Compact"/>
              <w:jc w:val="right"/>
            </w:pPr>
            <w:r>
              <w:t xml:space="preserve">471.2</w:t>
            </w:r>
          </w:p>
        </w:tc>
      </w:tr>
      <w:tr>
        <w:tc>
          <w:tcPr/>
          <w:p>
            <w:pPr>
              <w:pStyle w:val="Compact"/>
              <w:jc w:val="left"/>
            </w:pPr>
            <w:r>
              <w:t xml:space="preserve">注入扫描</w:t>
            </w:r>
          </w:p>
        </w:tc>
        <w:tc>
          <w:tcPr/>
          <w:p>
            <w:pPr>
              <w:pStyle w:val="Compact"/>
              <w:jc w:val="right"/>
            </w:pPr>
            <w:r>
              <w:t xml:space="preserve">300</w:t>
            </w:r>
          </w:p>
        </w:tc>
        <w:tc>
          <w:tcPr/>
          <w:p>
            <w:pPr>
              <w:pStyle w:val="Compact"/>
              <w:jc w:val="right"/>
            </w:pPr>
            <w:r>
              <w:t xml:space="preserve">30.5</w:t>
            </w:r>
          </w:p>
        </w:tc>
        <w:tc>
          <w:tcPr/>
          <w:p>
            <w:pPr>
              <w:pStyle w:val="Compact"/>
              <w:jc w:val="right"/>
            </w:pPr>
            <w:r>
              <w:t xml:space="preserve">32.5</w:t>
            </w:r>
          </w:p>
        </w:tc>
        <w:tc>
          <w:tcPr/>
          <w:p>
            <w:pPr>
              <w:pStyle w:val="Compact"/>
              <w:jc w:val="right"/>
            </w:pPr>
            <w:r>
              <w:t xml:space="preserve">41.8</w:t>
            </w:r>
          </w:p>
        </w:tc>
        <w:tc>
          <w:tcPr/>
          <w:p>
            <w:pPr>
              <w:pStyle w:val="Compact"/>
              <w:jc w:val="right"/>
            </w:pPr>
            <w:r>
              <w:t xml:space="preserve">51.4</w:t>
            </w:r>
          </w:p>
        </w:tc>
      </w:tr>
      <w:tr>
        <w:tc>
          <w:tcPr/>
          <w:p>
            <w:pPr>
              <w:pStyle w:val="Compact"/>
              <w:jc w:val="left"/>
            </w:pPr>
            <w:r>
              <w:t xml:space="preserve">意图分类</w:t>
            </w:r>
          </w:p>
        </w:tc>
        <w:tc>
          <w:tcPr/>
          <w:p>
            <w:pPr>
              <w:pStyle w:val="Compact"/>
              <w:jc w:val="right"/>
            </w:pPr>
            <w:r>
              <w:t xml:space="preserve">300</w:t>
            </w:r>
          </w:p>
        </w:tc>
        <w:tc>
          <w:tcPr/>
          <w:p>
            <w:pPr>
              <w:pStyle w:val="Compact"/>
              <w:jc w:val="right"/>
            </w:pPr>
            <w:r>
              <w:t xml:space="preserve">25.6</w:t>
            </w:r>
          </w:p>
        </w:tc>
        <w:tc>
          <w:tcPr/>
          <w:p>
            <w:pPr>
              <w:pStyle w:val="Compact"/>
              <w:jc w:val="right"/>
            </w:pPr>
            <w:r>
              <w:t xml:space="preserve">24.2</w:t>
            </w:r>
          </w:p>
        </w:tc>
        <w:tc>
          <w:tcPr/>
          <w:p>
            <w:pPr>
              <w:pStyle w:val="Compact"/>
              <w:jc w:val="right"/>
            </w:pPr>
            <w:r>
              <w:t xml:space="preserve">39.6</w:t>
            </w:r>
          </w:p>
        </w:tc>
        <w:tc>
          <w:tcPr/>
          <w:p>
            <w:pPr>
              <w:pStyle w:val="Compact"/>
              <w:jc w:val="right"/>
            </w:pPr>
            <w:r>
              <w:t xml:space="preserve">49.2</w:t>
            </w:r>
          </w:p>
        </w:tc>
      </w:tr>
      <w:tr>
        <w:tc>
          <w:tcPr/>
          <w:p>
            <w:pPr>
              <w:pStyle w:val="Compact"/>
              <w:jc w:val="left"/>
            </w:pPr>
            <w:r>
              <w:t xml:space="preserve">跨信号关联根因推理</w:t>
            </w:r>
          </w:p>
        </w:tc>
        <w:tc>
          <w:tcPr/>
          <w:p>
            <w:pPr>
              <w:pStyle w:val="Compact"/>
              <w:jc w:val="right"/>
            </w:pPr>
            <w:r>
              <w:t xml:space="preserve">300</w:t>
            </w:r>
          </w:p>
        </w:tc>
        <w:tc>
          <w:tcPr/>
          <w:p>
            <w:pPr>
              <w:pStyle w:val="Compact"/>
              <w:jc w:val="right"/>
            </w:pPr>
            <w:r>
              <w:t xml:space="preserve">61.3</w:t>
            </w:r>
          </w:p>
        </w:tc>
        <w:tc>
          <w:tcPr/>
          <w:p>
            <w:pPr>
              <w:pStyle w:val="Compact"/>
              <w:jc w:val="right"/>
            </w:pPr>
            <w:r>
              <w:t xml:space="preserve">54.3</w:t>
            </w:r>
          </w:p>
        </w:tc>
        <w:tc>
          <w:tcPr/>
          <w:p>
            <w:pPr>
              <w:pStyle w:val="Compact"/>
              <w:jc w:val="right"/>
            </w:pPr>
            <w:r>
              <w:t xml:space="preserve">92.1</w:t>
            </w:r>
          </w:p>
        </w:tc>
        <w:tc>
          <w:tcPr/>
          <w:p>
            <w:pPr>
              <w:pStyle w:val="Compact"/>
              <w:jc w:val="right"/>
            </w:pPr>
            <w:r>
              <w:t xml:space="preserve">167.3</w:t>
            </w:r>
          </w:p>
        </w:tc>
      </w:tr>
    </w:tbl>
    <w:p>
      <w:pPr>
        <w:pStyle w:val="BodyText"/>
      </w:pPr>
      <w:r>
        <w:t xml:space="preserve">表 5.1　护栏与推理的单次调用延迟</w:t>
      </w:r>
    </w:p>
    <w:bookmarkEnd w:id="24"/>
    <w:bookmarkStart w:id="31" w:name="资源占用与负载能力"/>
    <w:p>
      <w:pPr>
        <w:pStyle w:val="Heading2"/>
      </w:pPr>
      <w:r>
        <w:t xml:space="preserve">3 资源占用与负载能力</w:t>
      </w:r>
    </w:p>
    <w:p>
      <w:pPr>
        <w:pStyle w:val="FirstParagraph"/>
      </w:pPr>
      <w:r>
        <w:t xml:space="preserve">本节给出系统在资源维度的硬性指标，覆盖常驻内存、处理器占用、并发吞吐、长时间运行稳定性、审计存储成本与冷启动六个方面。</w:t>
      </w:r>
    </w:p>
    <w:bookmarkStart w:id="25" w:name="进程常驻内存"/>
    <w:p>
      <w:pPr>
        <w:pStyle w:val="Heading3"/>
      </w:pPr>
      <w:r>
        <w:t xml:space="preserve">3.1 进程常驻内存</w:t>
      </w:r>
    </w:p>
    <w:p>
      <w:pPr>
        <w:pStyle w:val="FirstParagraph"/>
      </w:pPr>
      <w:r>
        <w:t xml:space="preserve">在以确定性桩启动的后端服务进程上测量其常驻内存，结果为约 78.7 MB；而仅导入护栏、根因与审计等核心逻辑的基准进程常驻内存约为 29.5 MB。这一内存占用水平相对于服务器动辄数十 GB 的内存而言极小，表明系统自身轻量，便于在资源受限的国产化虚拟机上部署。</w:t>
      </w:r>
    </w:p>
    <w:bookmarkEnd w:id="25"/>
    <w:bookmarkStart w:id="26" w:name="处理器占用"/>
    <w:p>
      <w:pPr>
        <w:pStyle w:val="Heading3"/>
      </w:pPr>
      <w:r>
        <w:t xml:space="preserve">3.2 处理器占用</w:t>
      </w:r>
    </w:p>
    <w:p>
      <w:pPr>
        <w:pStyle w:val="FirstParagraph"/>
      </w:pPr>
      <w:r>
        <w:t xml:space="preserve">在持续打满护栏裁决的负载下测量处理器占用，系统在三秒内完成约 11876 次裁决，对应处理器占用约为 104%，即基本占满一个核心，折合处理速率约为每秒 3959 次裁决。由此可见，护栏裁决是处理器密集型的纯计算操作，单个核心即可支撑每秒近四千次裁决，对于实际运维中远低于此频率的命令流而言绰绰有余。</w:t>
      </w:r>
    </w:p>
    <w:bookmarkEnd w:id="26"/>
    <w:bookmarkStart w:id="27" w:name="并发吞吐"/>
    <w:p>
      <w:pPr>
        <w:pStyle w:val="Heading3"/>
      </w:pPr>
      <w:r>
        <w:t xml:space="preserve">3.3 并发吞吐</w:t>
      </w:r>
    </w:p>
    <w:p>
      <w:pPr>
        <w:pStyle w:val="FirstParagraph"/>
      </w:pPr>
      <w:r>
        <w:t xml:space="preserve">固定四万次总裁决量，分别以 1、4、16、64 个线程分摊，度量墙钟吞吐，结果如表 5.2 所示。单线程吞吐约为每秒 3901 次，随着线程数增加，吞吐并未线性提升，而是稳定在每秒约 3300 次。这一现象符合预期：护栏裁决为处理器密集型的纯 Python 计算，受全局解释器锁约束，单个进程内的多线程无法叠加处理器算力，因此系统的横向扩展应通过部署多个工作进程来实现，而非依赖单进程内的多线程。需要说明的是，系统在真实运行中的并发瓶颈并不在护栏，而在于等待大模型网络返回的异步 I/O，护栏的处理能力远高于实际命令到达速率，不构成并发瓶颈。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并发线程数</w:t>
            </w:r>
          </w:p>
        </w:tc>
        <w:tc>
          <w:tcPr/>
          <w:p>
            <w:pPr>
              <w:pStyle w:val="Compact"/>
              <w:jc w:val="right"/>
            </w:pPr>
            <w:r>
              <w:t xml:space="preserve">总裁决数</w:t>
            </w:r>
          </w:p>
        </w:tc>
        <w:tc>
          <w:tcPr/>
          <w:p>
            <w:pPr>
              <w:pStyle w:val="Compact"/>
              <w:jc w:val="right"/>
            </w:pPr>
            <w:r>
              <w:t xml:space="preserve">墙钟耗时（秒）</w:t>
            </w:r>
          </w:p>
        </w:tc>
        <w:tc>
          <w:tcPr/>
          <w:p>
            <w:pPr>
              <w:pStyle w:val="Compact"/>
              <w:jc w:val="right"/>
            </w:pPr>
            <w:r>
              <w:t xml:space="preserve">吞吐（次/秒）</w:t>
            </w:r>
          </w:p>
        </w:tc>
      </w:tr>
      <w:tr>
        <w:tc>
          <w:tcPr/>
          <w:p>
            <w:pPr>
              <w:pStyle w:val="Compact"/>
              <w:jc w:val="right"/>
            </w:pPr>
            <w:r>
              <w:t xml:space="preserve">1</w:t>
            </w:r>
          </w:p>
        </w:tc>
        <w:tc>
          <w:tcPr/>
          <w:p>
            <w:pPr>
              <w:pStyle w:val="Compact"/>
              <w:jc w:val="right"/>
            </w:pPr>
            <w:r>
              <w:t xml:space="preserve">40000</w:t>
            </w:r>
          </w:p>
        </w:tc>
        <w:tc>
          <w:tcPr/>
          <w:p>
            <w:pPr>
              <w:pStyle w:val="Compact"/>
              <w:jc w:val="right"/>
            </w:pPr>
            <w:r>
              <w:t xml:space="preserve">10.254</w:t>
            </w:r>
          </w:p>
        </w:tc>
        <w:tc>
          <w:tcPr/>
          <w:p>
            <w:pPr>
              <w:pStyle w:val="Compact"/>
              <w:jc w:val="right"/>
            </w:pPr>
            <w:r>
              <w:t xml:space="preserve">3901</w:t>
            </w:r>
          </w:p>
        </w:tc>
      </w:tr>
      <w:tr>
        <w:tc>
          <w:tcPr/>
          <w:p>
            <w:pPr>
              <w:pStyle w:val="Compact"/>
              <w:jc w:val="right"/>
            </w:pPr>
            <w:r>
              <w:t xml:space="preserve">4</w:t>
            </w:r>
          </w:p>
        </w:tc>
        <w:tc>
          <w:tcPr/>
          <w:p>
            <w:pPr>
              <w:pStyle w:val="Compact"/>
              <w:jc w:val="right"/>
            </w:pPr>
            <w:r>
              <w:t xml:space="preserve">40000</w:t>
            </w:r>
          </w:p>
        </w:tc>
        <w:tc>
          <w:tcPr/>
          <w:p>
            <w:pPr>
              <w:pStyle w:val="Compact"/>
              <w:jc w:val="right"/>
            </w:pPr>
            <w:r>
              <w:t xml:space="preserve">12.027</w:t>
            </w:r>
          </w:p>
        </w:tc>
        <w:tc>
          <w:tcPr/>
          <w:p>
            <w:pPr>
              <w:pStyle w:val="Compact"/>
              <w:jc w:val="right"/>
            </w:pPr>
            <w:r>
              <w:t xml:space="preserve">3326</w:t>
            </w:r>
          </w:p>
        </w:tc>
      </w:tr>
      <w:tr>
        <w:tc>
          <w:tcPr/>
          <w:p>
            <w:pPr>
              <w:pStyle w:val="Compact"/>
              <w:jc w:val="right"/>
            </w:pPr>
            <w:r>
              <w:t xml:space="preserve">16</w:t>
            </w:r>
          </w:p>
        </w:tc>
        <w:tc>
          <w:tcPr/>
          <w:p>
            <w:pPr>
              <w:pStyle w:val="Compact"/>
              <w:jc w:val="right"/>
            </w:pPr>
            <w:r>
              <w:t xml:space="preserve">40000</w:t>
            </w:r>
          </w:p>
        </w:tc>
        <w:tc>
          <w:tcPr/>
          <w:p>
            <w:pPr>
              <w:pStyle w:val="Compact"/>
              <w:jc w:val="right"/>
            </w:pPr>
            <w:r>
              <w:t xml:space="preserve">12.016</w:t>
            </w:r>
          </w:p>
        </w:tc>
        <w:tc>
          <w:tcPr/>
          <w:p>
            <w:pPr>
              <w:pStyle w:val="Compact"/>
              <w:jc w:val="right"/>
            </w:pPr>
            <w:r>
              <w:t xml:space="preserve">3329</w:t>
            </w:r>
          </w:p>
        </w:tc>
      </w:tr>
      <w:tr>
        <w:tc>
          <w:tcPr/>
          <w:p>
            <w:pPr>
              <w:pStyle w:val="Compact"/>
              <w:jc w:val="right"/>
            </w:pPr>
            <w:r>
              <w:t xml:space="preserve">64</w:t>
            </w:r>
          </w:p>
        </w:tc>
        <w:tc>
          <w:tcPr/>
          <w:p>
            <w:pPr>
              <w:pStyle w:val="Compact"/>
              <w:jc w:val="right"/>
            </w:pPr>
            <w:r>
              <w:t xml:space="preserve">40000</w:t>
            </w:r>
          </w:p>
        </w:tc>
        <w:tc>
          <w:tcPr/>
          <w:p>
            <w:pPr>
              <w:pStyle w:val="Compact"/>
              <w:jc w:val="right"/>
            </w:pPr>
            <w:r>
              <w:t xml:space="preserve">12.198</w:t>
            </w:r>
          </w:p>
        </w:tc>
        <w:tc>
          <w:tcPr/>
          <w:p>
            <w:pPr>
              <w:pStyle w:val="Compact"/>
              <w:jc w:val="right"/>
            </w:pPr>
            <w:r>
              <w:t xml:space="preserve">3279</w:t>
            </w:r>
          </w:p>
        </w:tc>
      </w:tr>
    </w:tbl>
    <w:p>
      <w:pPr>
        <w:pStyle w:val="BodyText"/>
      </w:pPr>
      <w:r>
        <w:t xml:space="preserve">表 5.2　不同并发度下的护栏裁决吞吐</w:t>
      </w:r>
    </w:p>
    <w:bookmarkEnd w:id="27"/>
    <w:bookmarkStart w:id="28" w:name="长时间运行稳定性"/>
    <w:p>
      <w:pPr>
        <w:pStyle w:val="Heading3"/>
      </w:pPr>
      <w:r>
        <w:t xml:space="preserve">3.4 长时间运行稳定性</w:t>
      </w:r>
    </w:p>
    <w:p>
      <w:pPr>
        <w:pStyle w:val="FirstParagraph"/>
      </w:pPr>
      <w:r>
        <w:t xml:space="preserve">连续执行二十万次护栏裁决，耗时约 49.25 秒，期间监测进程常驻内存。测试前后常驻内存均稳定在约 38.3 MB，增量为 0.0 MB，表明系统在长时间高频运行下不存在内存泄漏，具备长期稳定运行的能力。</w:t>
      </w:r>
    </w:p>
    <w:bookmarkEnd w:id="28"/>
    <w:bookmarkStart w:id="29" w:name="审计存储成本"/>
    <w:p>
      <w:pPr>
        <w:pStyle w:val="Heading3"/>
      </w:pPr>
      <w:r>
        <w:t xml:space="preserve">3.5 审计存储成本</w:t>
      </w:r>
    </w:p>
    <w:p>
      <w:pPr>
        <w:pStyle w:val="FirstParagraph"/>
      </w:pPr>
      <w:r>
        <w:t xml:space="preserve">对实际运行积累的审计库进行统计，该库共记录 3509 次会话、42306 个思维段，总占用约 20.7 MB，折合每次会话约 5.92 KB、平均约 12 个思维段。由此可见，全链路思维链留痕的存储成本很低，即便长期运行积累大量会话，存储压力也完全可控。</w:t>
      </w:r>
    </w:p>
    <w:bookmarkEnd w:id="29"/>
    <w:bookmarkStart w:id="30" w:name="冷启动"/>
    <w:p>
      <w:pPr>
        <w:pStyle w:val="Heading3"/>
      </w:pPr>
      <w:r>
        <w:t xml:space="preserve">3.6 冷启动</w:t>
      </w:r>
    </w:p>
    <w:p>
      <w:pPr>
        <w:pStyle w:val="FirstParagraph"/>
      </w:pPr>
      <w:r>
        <w:t xml:space="preserve">测量从零导入护栏逻辑到完成首次命令裁决的耗时，约为 76.6 毫秒，对应的子进程墙钟时间约为 87.6 毫秒。冷启动迅速，有利于服务的快速拉起与故障后的快速恢复。</w:t>
      </w:r>
    </w:p>
    <w:bookmarkEnd w:id="30"/>
    <w:bookmarkEnd w:id="31"/>
    <w:bookmarkStart w:id="32" w:name="批量裁决吞吐"/>
    <w:p>
      <w:pPr>
        <w:pStyle w:val="Heading2"/>
      </w:pPr>
      <w:r>
        <w:t xml:space="preserve">4 批量裁决吞吐</w:t>
      </w:r>
    </w:p>
    <w:p>
      <w:pPr>
        <w:pStyle w:val="FirstParagraph"/>
      </w:pPr>
      <w:r>
        <w:t xml:space="preserve">在批量裁决测试中，系统累计裁决 3550 条命令，耗时约 849.4 毫秒，折合吞吐约为每秒 4180 次裁决，与资源基准中持续负载下的处理速率相互印证，表明护栏在高频调用下也不会构成系统瓶颈。</w:t>
      </w:r>
    </w:p>
    <w:bookmarkEnd w:id="32"/>
    <w:bookmarkStart w:id="33" w:name="端到端对话延迟"/>
    <w:p>
      <w:pPr>
        <w:pStyle w:val="Heading2"/>
      </w:pPr>
      <w:r>
        <w:t xml:space="preserve">5 端到端对话延迟</w:t>
      </w:r>
    </w:p>
    <w:p>
      <w:pPr>
        <w:pStyle w:val="FirstParagraph"/>
      </w:pPr>
      <w:r>
        <w:t xml:space="preserve">一次完整对话的端到端延迟由本地处理与大模型网络往返两部分构成，二者在数量级上相差悬殊。在以确定性桩将模型往返置零、只度量本地处理的情况下，单次 MCP 工具调用约耗时 1.0 毫秒，护栏、工具、编排与审计等本地环节合计约 18.2 毫秒，如表 5.3 所示。</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阶段</w:t>
            </w:r>
          </w:p>
        </w:tc>
        <w:tc>
          <w:tcPr/>
          <w:p>
            <w:pPr>
              <w:pStyle w:val="Compact"/>
              <w:jc w:val="right"/>
            </w:pPr>
            <w:r>
              <w:t xml:space="preserve">耗时</w:t>
            </w:r>
          </w:p>
        </w:tc>
        <w:tc>
          <w:tcPr/>
          <w:p>
            <w:pPr>
              <w:pStyle w:val="Compact"/>
              <w:jc w:val="left"/>
            </w:pPr>
            <w:r>
              <w:t xml:space="preserve">说明</w:t>
            </w:r>
          </w:p>
        </w:tc>
      </w:tr>
      <w:tr>
        <w:tc>
          <w:tcPr/>
          <w:p>
            <w:pPr>
              <w:pStyle w:val="Compact"/>
              <w:jc w:val="left"/>
            </w:pPr>
            <w:r>
              <w:t xml:space="preserve">单次 MCP 工具调用</w:t>
            </w:r>
          </w:p>
        </w:tc>
        <w:tc>
          <w:tcPr/>
          <w:p>
            <w:pPr>
              <w:pStyle w:val="Compact"/>
              <w:jc w:val="right"/>
            </w:pPr>
            <w:r>
              <w:t xml:space="preserve">1.0 毫秒</w:t>
            </w:r>
          </w:p>
        </w:tc>
        <w:tc>
          <w:tcPr/>
          <w:p>
            <w:pPr>
              <w:pStyle w:val="Compact"/>
              <w:jc w:val="left"/>
            </w:pPr>
            <w:r>
              <w:t xml:space="preserve">真实读取系统数据</w:t>
            </w:r>
          </w:p>
        </w:tc>
      </w:tr>
      <w:tr>
        <w:tc>
          <w:tcPr/>
          <w:p>
            <w:pPr>
              <w:pStyle w:val="Compact"/>
              <w:jc w:val="left"/>
            </w:pPr>
            <w:r>
              <w:t xml:space="preserve">本地段合计</w:t>
            </w:r>
          </w:p>
        </w:tc>
        <w:tc>
          <w:tcPr/>
          <w:p>
            <w:pPr>
              <w:pStyle w:val="Compact"/>
              <w:jc w:val="right"/>
            </w:pPr>
            <w:r>
              <w:t xml:space="preserve">18.2 毫秒</w:t>
            </w:r>
          </w:p>
        </w:tc>
        <w:tc>
          <w:tcPr/>
          <w:p>
            <w:pPr>
              <w:pStyle w:val="Compact"/>
              <w:jc w:val="left"/>
            </w:pPr>
            <w:r>
              <w:t xml:space="preserve">护栏、工具、编排与审计，模型往返置零</w:t>
            </w:r>
          </w:p>
        </w:tc>
      </w:tr>
    </w:tbl>
    <w:p>
      <w:pPr>
        <w:pStyle w:val="BodyText"/>
      </w:pPr>
      <w:r>
        <w:t xml:space="preserve">表 5.3　端到端延迟的本地处理部分</w:t>
      </w:r>
    </w:p>
    <w:p>
      <w:pPr>
        <w:pStyle w:val="BodyText"/>
      </w:pPr>
      <w:r>
        <w:t xml:space="preserve">端到端延迟的主导因素是串行的大模型往返次数，而往返次数取决于请求的意图类别，估算如表 5.4 所示。对于只读查询的请求，通常需要两次串行往返；对于涉及修改或动作的请求，通常需要三次往返；当读到不可信工具输出时，还会因隔离阅读而增加一次往返。按单次往返约 6 至 12 秒的真实区间估算，端到端延迟约等于往返次数与单次往返耗时的乘积，由模型主导。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意图类别</w:t>
            </w:r>
          </w:p>
        </w:tc>
        <w:tc>
          <w:tcPr/>
          <w:p>
            <w:pPr>
              <w:pStyle w:val="Compact"/>
              <w:jc w:val="right"/>
            </w:pPr>
            <w:r>
              <w:t xml:space="preserve">串行往返次数</w:t>
            </w:r>
          </w:p>
        </w:tc>
        <w:tc>
          <w:tcPr/>
          <w:p>
            <w:pPr>
              <w:pStyle w:val="Compact"/>
              <w:jc w:val="right"/>
            </w:pPr>
            <w:r>
              <w:t xml:space="preserve">单次查询墙钟估算</w:t>
            </w:r>
          </w:p>
        </w:tc>
      </w:tr>
      <w:tr>
        <w:tc>
          <w:tcPr/>
          <w:p>
            <w:pPr>
              <w:pStyle w:val="Compact"/>
              <w:jc w:val="left"/>
            </w:pPr>
            <w:r>
              <w:t xml:space="preserve">只读查询</w:t>
            </w:r>
          </w:p>
        </w:tc>
        <w:tc>
          <w:tcPr/>
          <w:p>
            <w:pPr>
              <w:pStyle w:val="Compact"/>
              <w:jc w:val="right"/>
            </w:pPr>
            <w:r>
              <w:t xml:space="preserve">2 次（读到不可信输出时加一次）</w:t>
            </w:r>
          </w:p>
        </w:tc>
        <w:tc>
          <w:tcPr/>
          <w:p>
            <w:pPr>
              <w:pStyle w:val="Compact"/>
              <w:jc w:val="right"/>
            </w:pPr>
            <w:r>
              <w:t xml:space="preserve">约 12 至 24 秒</w:t>
            </w:r>
          </w:p>
        </w:tc>
      </w:tr>
      <w:tr>
        <w:tc>
          <w:tcPr/>
          <w:p>
            <w:pPr>
              <w:pStyle w:val="Compact"/>
              <w:jc w:val="left"/>
            </w:pPr>
            <w:r>
              <w:t xml:space="preserve">修改或动作</w:t>
            </w:r>
          </w:p>
        </w:tc>
        <w:tc>
          <w:tcPr/>
          <w:p>
            <w:pPr>
              <w:pStyle w:val="Compact"/>
              <w:jc w:val="right"/>
            </w:pPr>
            <w:r>
              <w:t xml:space="preserve">3 次（读到不可信输出时加一次）</w:t>
            </w:r>
          </w:p>
        </w:tc>
        <w:tc>
          <w:tcPr/>
          <w:p>
            <w:pPr>
              <w:pStyle w:val="Compact"/>
              <w:jc w:val="right"/>
            </w:pPr>
            <w:r>
              <w:t xml:space="preserve">约 18 至 36 秒</w:t>
            </w:r>
          </w:p>
        </w:tc>
      </w:tr>
      <w:tr>
        <w:tc>
          <w:tcPr/>
          <w:p>
            <w:pPr>
              <w:pStyle w:val="Compact"/>
              <w:jc w:val="left"/>
            </w:pPr>
            <w:r>
              <w:t xml:space="preserve">无需工具的直接作答</w:t>
            </w:r>
          </w:p>
        </w:tc>
        <w:tc>
          <w:tcPr/>
          <w:p>
            <w:pPr>
              <w:pStyle w:val="Compact"/>
              <w:jc w:val="right"/>
            </w:pPr>
            <w:r>
              <w:t xml:space="preserve">只读 1 次、修改 2 次</w:t>
            </w:r>
          </w:p>
        </w:tc>
        <w:tc>
          <w:tcPr/>
          <w:p>
            <w:pPr>
              <w:pStyle w:val="Compact"/>
              <w:jc w:val="right"/>
            </w:pPr>
            <w:r>
              <w:t xml:space="preserve">约 6 至 24 秒</w:t>
            </w:r>
          </w:p>
        </w:tc>
      </w:tr>
    </w:tbl>
    <w:p>
      <w:pPr>
        <w:pStyle w:val="BodyText"/>
      </w:pPr>
      <w:r>
        <w:t xml:space="preserve">表 5.4　按意图类别拆解的端到端延迟</w:t>
      </w:r>
    </w:p>
    <w:p>
      <w:pPr>
        <w:pStyle w:val="BodyText"/>
      </w:pPr>
      <w:r>
        <w:t xml:space="preserve">由上述拆解可以得到三点结论。其一，端到端延迟约等于往返次数与单次模型耗时的乘积，由模型主导，本地处理开销在此量级下可以忽略。其二，修改类意图为换取规则保障可靠性、模型补足泛化能力的双层安全研判，刻意多付一次串行往返，这是在安全性与时延之间的自觉取舍。其三，优化的着力点在于模型一侧，例如引入缓存、改用更快的模型或并发执行只读工具，而非已经可以忽略的护栏开销。</w:t>
      </w:r>
    </w:p>
    <w:bookmarkEnd w:id="33"/>
    <w:bookmarkStart w:id="34" w:name="性能结论"/>
    <w:p>
      <w:pPr>
        <w:pStyle w:val="Heading2"/>
      </w:pPr>
      <w:r>
        <w:t xml:space="preserve">6 性能结论</w:t>
      </w:r>
    </w:p>
    <w:p>
      <w:pPr>
        <w:pStyle w:val="FirstParagraph"/>
      </w:pPr>
      <w:r>
        <w:t xml:space="preserve">综合上述测试，系统在时间与资源两个维度均表现良好，核心指标汇总如表 5.5 所示。护栏的单次裁决均值约为 229 微秒，处于亚毫秒量级，对运维几乎无感知影响；单个核心即可支撑每秒近四千次裁决，处理器与内存占用都很低；长时间高频运行无内存泄漏；审计留痕的存储成本仅约每会话 5.92 KB；服务冷启动在百毫秒以内。端到端延迟主要由大模型的网络往返决定，护栏在其中的占比可以忽略。综合来看，安全护栏在带来全部危险命令拦截能力的同时，仅引入亚毫秒级的处理开销与极低的资源占用，安全性与性能并不矛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核心指标</w:t>
            </w:r>
          </w:p>
        </w:tc>
        <w:tc>
          <w:tcPr/>
          <w:p>
            <w:pPr>
              <w:pStyle w:val="Compact"/>
              <w:jc w:val="left"/>
            </w:pPr>
            <w:r>
              <w:t xml:space="preserve">数值</w:t>
            </w:r>
          </w:p>
        </w:tc>
        <w:tc>
          <w:tcPr/>
          <w:p>
            <w:pPr>
              <w:pStyle w:val="Compact"/>
              <w:jc w:val="left"/>
            </w:pPr>
            <w:r>
              <w:t xml:space="preserve">评价</w:t>
            </w:r>
          </w:p>
        </w:tc>
      </w:tr>
      <w:tr>
        <w:tc>
          <w:tcPr/>
          <w:p>
            <w:pPr>
              <w:pStyle w:val="Compact"/>
              <w:jc w:val="left"/>
            </w:pPr>
            <w:r>
              <w:t xml:space="preserve">护栏单次裁决均值</w:t>
            </w:r>
          </w:p>
        </w:tc>
        <w:tc>
          <w:tcPr/>
          <w:p>
            <w:pPr>
              <w:pStyle w:val="Compact"/>
              <w:jc w:val="left"/>
            </w:pPr>
            <w:r>
              <w:t xml:space="preserve">229.3 微秒</w:t>
            </w:r>
          </w:p>
        </w:tc>
        <w:tc>
          <w:tcPr/>
          <w:p>
            <w:pPr>
              <w:pStyle w:val="Compact"/>
              <w:jc w:val="left"/>
            </w:pPr>
            <w:r>
              <w:t xml:space="preserve">亚毫秒，对运维无感知影响</w:t>
            </w:r>
          </w:p>
        </w:tc>
      </w:tr>
      <w:tr>
        <w:tc>
          <w:tcPr/>
          <w:p>
            <w:pPr>
              <w:pStyle w:val="Compact"/>
              <w:jc w:val="left"/>
            </w:pPr>
            <w:r>
              <w:t xml:space="preserve">持续负载处理速率</w:t>
            </w:r>
          </w:p>
        </w:tc>
        <w:tc>
          <w:tcPr/>
          <w:p>
            <w:pPr>
              <w:pStyle w:val="Compact"/>
              <w:jc w:val="left"/>
            </w:pPr>
            <w:r>
              <w:t xml:space="preserve">每秒约 3959 次（约占一个核心）</w:t>
            </w:r>
          </w:p>
        </w:tc>
        <w:tc>
          <w:tcPr/>
          <w:p>
            <w:pPr>
              <w:pStyle w:val="Compact"/>
              <w:jc w:val="left"/>
            </w:pPr>
            <w:r>
              <w:t xml:space="preserve">处理器密集但单核即足够</w:t>
            </w:r>
          </w:p>
        </w:tc>
      </w:tr>
      <w:tr>
        <w:tc>
          <w:tcPr/>
          <w:p>
            <w:pPr>
              <w:pStyle w:val="Compact"/>
              <w:jc w:val="left"/>
            </w:pPr>
            <w:r>
              <w:t xml:space="preserve">服务常驻内存</w:t>
            </w:r>
          </w:p>
        </w:tc>
        <w:tc>
          <w:tcPr/>
          <w:p>
            <w:pPr>
              <w:pStyle w:val="Compact"/>
              <w:jc w:val="left"/>
            </w:pPr>
            <w:r>
              <w:t xml:space="preserve">约 78.7 MB</w:t>
            </w:r>
          </w:p>
        </w:tc>
        <w:tc>
          <w:tcPr/>
          <w:p>
            <w:pPr>
              <w:pStyle w:val="Compact"/>
              <w:jc w:val="left"/>
            </w:pPr>
            <w:r>
              <w:t xml:space="preserve">轻量，便于国产化部署</w:t>
            </w:r>
          </w:p>
        </w:tc>
      </w:tr>
      <w:tr>
        <w:tc>
          <w:tcPr/>
          <w:p>
            <w:pPr>
              <w:pStyle w:val="Compact"/>
              <w:jc w:val="left"/>
            </w:pPr>
            <w:r>
              <w:t xml:space="preserve">长稳内存增量</w:t>
            </w:r>
          </w:p>
        </w:tc>
        <w:tc>
          <w:tcPr/>
          <w:p>
            <w:pPr>
              <w:pStyle w:val="Compact"/>
              <w:jc w:val="left"/>
            </w:pPr>
            <w:r>
              <w:t xml:space="preserve">二十万次裁决后为 0.0 MB</w:t>
            </w:r>
          </w:p>
        </w:tc>
        <w:tc>
          <w:tcPr/>
          <w:p>
            <w:pPr>
              <w:pStyle w:val="Compact"/>
              <w:jc w:val="left"/>
            </w:pPr>
            <w:r>
              <w:t xml:space="preserve">无内存泄漏</w:t>
            </w:r>
          </w:p>
        </w:tc>
      </w:tr>
      <w:tr>
        <w:tc>
          <w:tcPr/>
          <w:p>
            <w:pPr>
              <w:pStyle w:val="Compact"/>
              <w:jc w:val="left"/>
            </w:pPr>
            <w:r>
              <w:t xml:space="preserve">审计存储成本</w:t>
            </w:r>
          </w:p>
        </w:tc>
        <w:tc>
          <w:tcPr/>
          <w:p>
            <w:pPr>
              <w:pStyle w:val="Compact"/>
              <w:jc w:val="left"/>
            </w:pPr>
            <w:r>
              <w:t xml:space="preserve">每会话约 5.92 KB</w:t>
            </w:r>
          </w:p>
        </w:tc>
        <w:tc>
          <w:tcPr/>
          <w:p>
            <w:pPr>
              <w:pStyle w:val="Compact"/>
              <w:jc w:val="left"/>
            </w:pPr>
            <w:r>
              <w:t xml:space="preserve">留痕成本低，长期可控</w:t>
            </w:r>
          </w:p>
        </w:tc>
      </w:tr>
      <w:tr>
        <w:tc>
          <w:tcPr/>
          <w:p>
            <w:pPr>
              <w:pStyle w:val="Compact"/>
              <w:jc w:val="left"/>
            </w:pPr>
            <w:r>
              <w:t xml:space="preserve">冷启动</w:t>
            </w:r>
          </w:p>
        </w:tc>
        <w:tc>
          <w:tcPr/>
          <w:p>
            <w:pPr>
              <w:pStyle w:val="Compact"/>
              <w:jc w:val="left"/>
            </w:pPr>
            <w:r>
              <w:t xml:space="preserve">约 87.6 毫秒</w:t>
            </w:r>
          </w:p>
        </w:tc>
        <w:tc>
          <w:tcPr/>
          <w:p>
            <w:pPr>
              <w:pStyle w:val="Compact"/>
              <w:jc w:val="left"/>
            </w:pPr>
            <w:r>
              <w:t xml:space="preserve">快速拉起与恢复</w:t>
            </w:r>
          </w:p>
        </w:tc>
      </w:tr>
      <w:tr>
        <w:tc>
          <w:tcPr/>
          <w:p>
            <w:pPr>
              <w:pStyle w:val="Compact"/>
              <w:jc w:val="left"/>
            </w:pPr>
            <w:r>
              <w:t xml:space="preserve">端到端延迟主导项</w:t>
            </w:r>
          </w:p>
        </w:tc>
        <w:tc>
          <w:tcPr/>
          <w:p>
            <w:pPr>
              <w:pStyle w:val="Compact"/>
              <w:jc w:val="left"/>
            </w:pPr>
            <w:r>
              <w:t xml:space="preserve">大模型网络往返（秒级）</w:t>
            </w:r>
          </w:p>
        </w:tc>
        <w:tc>
          <w:tcPr/>
          <w:p>
            <w:pPr>
              <w:pStyle w:val="Compact"/>
              <w:jc w:val="left"/>
            </w:pPr>
            <w:r>
              <w:t xml:space="preserve">由模型决定，护栏占比可忽略</w:t>
            </w:r>
          </w:p>
        </w:tc>
      </w:tr>
    </w:tbl>
    <w:p>
      <w:pPr>
        <w:pStyle w:val="BodyText"/>
      </w:pPr>
      <w:r>
        <w:t xml:space="preserve">表 5.5　核心性能指标汇总</w:t>
      </w:r>
    </w:p>
    <w:bookmarkEnd w:id="34"/>
    <w:bookmarkEnd w:id="35"/>
    <w:sectPr/>
    <w:sectPr>
      <w:pgSz w:w="11906" w:h="16838"/>
      <w:pgMar w:top="1417" w:right="1134" w:bottom="1134" w:left="1417" w:header="1134" w:footer="1134"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黑体" w:cs="黑体" w:eastAsia="黑体" w:hAnsi="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黑体" w:cs="黑体" w:eastAsia="黑体" w:hAnsi="黑体"/>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黑体" w:cs="黑体" w:eastAsia="黑体" w:hAnsi="黑体"/>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黑体" w:cs="黑体" w:eastAsia="黑体" w:hAnsi="黑体"/>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黑体" w:cs="黑体" w:eastAsia="黑体" w:hAnsi="黑体"/>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黑体" w:cs="黑体" w:eastAsia="黑体" w:hAnsi="黑体"/>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黑体" w:cs="黑体" w:eastAsia="黑体" w:hAnsi="黑体"/>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黑体" w:cs="黑体" w:eastAsia="黑体" w:hAnsi="黑体"/>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黑体" w:cs="黑体" w:eastAsia="黑体" w:hAnsi="黑体"/>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黑体" w:cs="黑体" w:eastAsia="黑体" w:hAnsi="黑体"/>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黑体" w:cs="黑体" w:eastAsia="黑体" w:hAnsi="黑体"/>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2026-06-24T07:42:47Z</dcterms:created>
  <dcterms:modified xsi:type="dcterms:W3CDTF">2026-06-24T07:42:47Z</dcterms:modified>
</cp:coreProperties>
</file>

<file path=docProps/custom.xml><?xml version="1.0" encoding="utf-8"?>
<Properties xmlns="http://schemas.openxmlformats.org/officeDocument/2006/custom-properties" xmlns:vt="http://schemas.openxmlformats.org/officeDocument/2006/docPropsVTypes"/>
</file>