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软件功能需求分析文档"/>
    <w:p>
      <w:pPr>
        <w:pStyle w:val="Heading1"/>
      </w:pPr>
      <w:r>
        <w:t xml:space="preserve">软件功能需求分析文档</w:t>
      </w:r>
    </w:p>
    <w:p>
      <w:pPr>
        <w:pStyle w:val="FirstParagraph"/>
      </w:pPr>
      <w:r>
        <w:rPr>
          <w:bCs/>
          <w:b/>
        </w:rPr>
        <w:t xml:space="preserve">项目名称</w:t>
      </w:r>
      <w:r>
        <w:t xml:space="preserve">：面向麒麟操作系统的安全智能运维 Agent</w:t>
      </w:r>
      <w:r>
        <w:t xml:space="preserve"> </w:t>
      </w:r>
      <w:r>
        <w:rPr>
          <w:bCs/>
          <w:b/>
        </w:rPr>
        <w:t xml:space="preserve">赛题编号</w:t>
      </w:r>
      <w:r>
        <w:t xml:space="preserve">：中国软件杯 A2</w:t>
      </w:r>
      <w:r>
        <w:t xml:space="preserve"> </w:t>
      </w:r>
      <w:r>
        <w:rPr>
          <w:bCs/>
          <w:b/>
        </w:rPr>
        <w:t xml:space="preserve">文档版本</w:t>
      </w:r>
      <w:r>
        <w:t xml:space="preserve">：v1.0</w:t>
      </w:r>
    </w:p>
    <w:p>
      <w:r>
        <w:pict>
          <v:rect style="width:0;height:1.5pt" o:hralign="center" o:hrstd="t" o:hr="t"/>
        </w:pict>
      </w:r>
    </w:p>
    <w:bookmarkStart w:id="24" w:name="引言"/>
    <w:p>
      <w:pPr>
        <w:pStyle w:val="Heading2"/>
      </w:pPr>
      <w:r>
        <w:t xml:space="preserve">1 引言</w:t>
      </w:r>
    </w:p>
    <w:bookmarkStart w:id="20" w:name="编写目的"/>
    <w:p>
      <w:pPr>
        <w:pStyle w:val="Heading3"/>
      </w:pPr>
      <w:r>
        <w:t xml:space="preserve">1.1 编写目的</w:t>
      </w:r>
    </w:p>
    <w:p>
      <w:pPr>
        <w:pStyle w:val="FirstParagraph"/>
      </w:pPr>
      <w:r>
        <w:t xml:space="preserve">本文档面向「面向麒麟操作系统的安全智能运维 Agent」给出完整的功能与非功能需求分析，作为后续功能设计、编码实现与测试验收的依据。读者对象为开发人员、测试人员与赛事评审。</w:t>
      </w:r>
    </w:p>
    <w:bookmarkEnd w:id="20"/>
    <w:bookmarkStart w:id="21" w:name="项目背景"/>
    <w:p>
      <w:pPr>
        <w:pStyle w:val="Heading3"/>
      </w:pPr>
      <w:r>
        <w:t xml:space="preserve">1.2 项目背景</w:t>
      </w:r>
    </w:p>
    <w:p>
      <w:pPr>
        <w:pStyle w:val="FirstParagraph"/>
      </w:pPr>
      <w:r>
        <w:t xml:space="preserve">在企业级数据中心（教育、医疗等行业场景），运维人员常需处理复杂的操作系统问题：僵尸进程堆积、磁盘 I/O 异常、日志撑满磁盘、配置文件漂移等。传统运维依赖大量脚本与监控告警，门槛高、响应慢。大模型（LLM）让「用自然语言运维」成为可能，但同时带来一个核心挑战——</w:t>
      </w:r>
      <w:r>
        <w:rPr>
          <w:bCs/>
          <w:b/>
        </w:rPr>
        <w:t xml:space="preserve">AI 推理的不可控性</w:t>
      </w:r>
      <w:r>
        <w:t xml:space="preserve">：模型可能在被诱导（提示词注入）或自身幻觉下生成</w:t>
      </w:r>
      <w:r>
        <w:t xml:space="preserve"> </w:t>
      </w:r>
      <w:r>
        <w:rPr>
          <w:rStyle w:val="VerbatimChar"/>
        </w:rPr>
        <w:t xml:space="preserve">rm -rf /</w:t>
      </w:r>
      <w:r>
        <w:t xml:space="preserve">、篡改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等灾难性指令。</w:t>
      </w:r>
    </w:p>
    <w:p>
      <w:pPr>
        <w:pStyle w:val="BodyText"/>
      </w:pPr>
      <w:r>
        <w:t xml:space="preserve">本项目要解决的核心命题，不是「让 AI 能对话运维」，而是「让 AI 对话运维</w:t>
      </w:r>
      <w:r>
        <w:rPr>
          <w:bCs/>
          <w:b/>
        </w:rPr>
        <w:t xml:space="preserve">安全可控、全程可追溯</w:t>
      </w:r>
      <w:r>
        <w:t xml:space="preserve">」。</w:t>
      </w:r>
    </w:p>
    <w:bookmarkEnd w:id="21"/>
    <w:bookmarkStart w:id="22" w:name="术语与缩写"/>
    <w:p>
      <w:pPr>
        <w:pStyle w:val="Heading3"/>
      </w:pPr>
      <w:r>
        <w:t xml:space="preserve">1.3 术语与缩写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Context Protocol，模型上下文协议，将运维动作封装为大模型可调用的 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安全护栏 Guardrail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 LLM 生成指令做独立二次过滤、拦截高危操作的多层防御体系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思维链 / 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一次会话「接收指令→感知环境→推理决策→安全校验→执行结果」五段可追溯记录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提示词注入 Prompt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通过对话或数据内容诱导 Agent 越权执行的攻击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Action-Selector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能力受限范式：LLM 只能从白名单中「选择」动作，不能自由拼装命令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 LLM 信息流隔离：不可信数据先经无工具「隔离阅读器」压成摘要再回喂规划器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READONLY 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只感知、不改系统状态的 MCP 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受控动作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参数化、白名单、强制二次确认的可变更动作</w:t>
            </w:r>
          </w:p>
        </w:tc>
      </w:tr>
    </w:tbl>
    <w:bookmarkEnd w:id="22"/>
    <w:bookmarkStart w:id="23" w:name="参考资料"/>
    <w:p>
      <w:pPr>
        <w:pStyle w:val="Heading3"/>
      </w:pPr>
      <w:r>
        <w:t xml:space="preserve">1.4 参考资料</w:t>
      </w:r>
    </w:p>
    <w:p>
      <w:pPr>
        <w:numPr>
          <w:ilvl w:val="0"/>
          <w:numId w:val="1001"/>
        </w:numPr>
        <w:pStyle w:val="Compact"/>
      </w:pPr>
      <w:r>
        <w:t xml:space="preserve">中国软件杯 A2 赛题说明书</w:t>
      </w:r>
    </w:p>
    <w:p>
      <w:pPr>
        <w:numPr>
          <w:ilvl w:val="0"/>
          <w:numId w:val="1001"/>
        </w:numPr>
        <w:pStyle w:val="Compact"/>
      </w:pPr>
      <w:r>
        <w:t xml:space="preserve">Model Context Protocol 官方规范</w:t>
      </w:r>
    </w:p>
    <w:p>
      <w:pPr>
        <w:numPr>
          <w:ilvl w:val="0"/>
          <w:numId w:val="1001"/>
        </w:numPr>
        <w:pStyle w:val="Compact"/>
      </w:pPr>
      <w:r>
        <w:t xml:space="preserve">《合肥工业大学本科生毕业设计书写格式》</w:t>
      </w:r>
    </w:p>
    <w:p>
      <w:pPr>
        <w:numPr>
          <w:ilvl w:val="0"/>
          <w:numId w:val="1001"/>
        </w:numPr>
        <w:pStyle w:val="Compact"/>
      </w:pPr>
      <w:r>
        <w:t xml:space="preserve">项目内部文档：</w:t>
      </w:r>
      <w:r>
        <w:rPr>
          <w:rStyle w:val="VerbatimChar"/>
        </w:rPr>
        <w:t xml:space="preserve">docs/security-design.md</w:t>
      </w:r>
      <w:r>
        <w:t xml:space="preserve">、</w:t>
      </w:r>
      <w:r>
        <w:rPr>
          <w:rStyle w:val="VerbatimChar"/>
        </w:rPr>
        <w:t xml:space="preserve">docs/dev-log.md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项目概述"/>
    <w:p>
      <w:pPr>
        <w:pStyle w:val="Heading2"/>
      </w:pPr>
      <w:r>
        <w:t xml:space="preserve">2 项目概述</w:t>
      </w:r>
    </w:p>
    <w:bookmarkStart w:id="25" w:name="产品定位"/>
    <w:p>
      <w:pPr>
        <w:pStyle w:val="Heading3"/>
      </w:pPr>
      <w:r>
        <w:t xml:space="preserve">2.1 产品定位</w:t>
      </w:r>
    </w:p>
    <w:p>
      <w:pPr>
        <w:pStyle w:val="FirstParagraph"/>
      </w:pPr>
      <w:r>
        <w:t xml:space="preserve">一套</w:t>
      </w:r>
      <w:r>
        <w:rPr>
          <w:bCs/>
          <w:b/>
        </w:rPr>
        <w:t xml:space="preserve">部署在麒麟操作系统上、通过自然语言运维 Linux</w:t>
      </w:r>
      <w:r>
        <w:t xml:space="preserve"> </w:t>
      </w:r>
      <w:r>
        <w:t xml:space="preserve">的智能 Agent。采用 B/S 架构，用户在浏览器中用自然语言描述运维需求，Agent 感知系统实时状态 → 推理决策 → 安全校验 → 最小权限执行 → 全链路留痕。核心差异化卖点是</w:t>
      </w:r>
      <w:r>
        <w:rPr>
          <w:bCs/>
          <w:b/>
        </w:rPr>
        <w:t xml:space="preserve">安全护栏</w:t>
      </w:r>
      <w:r>
        <w:t xml:space="preserve">——能拦住误删库、危险注入，并产出可追溯的思维链审计日志。</w:t>
      </w:r>
    </w:p>
    <w:bookmarkEnd w:id="25"/>
    <w:bookmarkStart w:id="26" w:name="用户特征"/>
    <w:p>
      <w:pPr>
        <w:pStyle w:val="Heading3"/>
      </w:pPr>
      <w:r>
        <w:t xml:space="preserve">2.2 用户特征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用户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主要诉求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运维管理员（主要用户）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数据中心 / 服务器运维人员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用自然语言快速完成系统诊断与处置，且操作安全可控、可审计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安全审计员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负责合规与事后追溯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回放任意一次会话的完整推理链，验证未发生越权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攻击者（威胁主体）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试图通过对话诱导 Agent 越权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（需被系统识别并拦截）</w:t>
            </w:r>
          </w:p>
        </w:tc>
      </w:tr>
    </w:tbl>
    <w:bookmarkEnd w:id="26"/>
    <w:bookmarkStart w:id="27" w:name="运行环境"/>
    <w:p>
      <w:pPr>
        <w:pStyle w:val="Heading3"/>
      </w:pPr>
      <w:r>
        <w:t xml:space="preserve">2.3 运行环境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硬件 / 系统</w:t>
      </w:r>
      <w:r>
        <w:t xml:space="preserve">：LoongArch 架构 + 麒麟高级服务器版 V11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服务端</w:t>
      </w:r>
      <w:r>
        <w:t xml:space="preserve">：Python 3.11 + FastAPI；MCP Server（官方 mcp SDK）；SQLite 审计库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客户端</w:t>
      </w:r>
      <w:r>
        <w:t xml:space="preserve">：现代浏览器（Vue3 + Element Plus 单页应用）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大模型</w:t>
      </w:r>
      <w:r>
        <w:t xml:space="preserve">：DeepSeek 云端 API（国产开源），离线/无网时切换 mock 确定性桩</w:t>
      </w:r>
    </w:p>
    <w:bookmarkEnd w:id="27"/>
    <w:bookmarkStart w:id="28" w:name="设计约束"/>
    <w:p>
      <w:pPr>
        <w:pStyle w:val="Heading3"/>
      </w:pPr>
      <w:r>
        <w:t xml:space="preserve">2.4 设计约束</w:t>
      </w:r>
    </w:p>
    <w:p>
      <w:pPr>
        <w:numPr>
          <w:ilvl w:val="0"/>
          <w:numId w:val="1003"/>
        </w:numPr>
        <w:pStyle w:val="Compact"/>
      </w:pPr>
      <w:r>
        <w:t xml:space="preserve">必须采用 B/S 架构，部署在 LoongArch + 麒麟 V11；</w:t>
      </w:r>
    </w:p>
    <w:p>
      <w:pPr>
        <w:numPr>
          <w:ilvl w:val="0"/>
          <w:numId w:val="1003"/>
        </w:numPr>
        <w:pStyle w:val="Compact"/>
      </w:pPr>
      <w:r>
        <w:t xml:space="preserve">必须实现 MCP 协议封装运维工具；</w:t>
      </w:r>
    </w:p>
    <w:p>
      <w:pPr>
        <w:numPr>
          <w:ilvl w:val="0"/>
          <w:numId w:val="1003"/>
        </w:numPr>
        <w:pStyle w:val="Compact"/>
      </w:pPr>
      <w:r>
        <w:t xml:space="preserve">严禁在未授权情况下修改系统关键配置文件；</w:t>
      </w:r>
    </w:p>
    <w:p>
      <w:pPr>
        <w:numPr>
          <w:ilvl w:val="0"/>
          <w:numId w:val="1003"/>
        </w:numPr>
        <w:pStyle w:val="Compact"/>
      </w:pPr>
      <w:r>
        <w:t xml:space="preserve">优先使用国产软件与国产开源大模型；</w:t>
      </w:r>
    </w:p>
    <w:p>
      <w:pPr>
        <w:numPr>
          <w:ilvl w:val="0"/>
          <w:numId w:val="1003"/>
        </w:numPr>
        <w:pStyle w:val="Compact"/>
      </w:pPr>
      <w:r>
        <w:t xml:space="preserve">所有命令执行必须经统一出口与安全护栏，绝不裸调</w:t>
      </w:r>
      <w:r>
        <w:t xml:space="preserve"> </w:t>
      </w:r>
      <w:r>
        <w:rPr>
          <w:rStyle w:val="VerbatimChar"/>
        </w:rPr>
        <w:t xml:space="preserve">os.system</w:t>
      </w:r>
      <w:r>
        <w:t xml:space="preserve">/</w:t>
      </w:r>
      <w:r>
        <w:rPr>
          <w:rStyle w:val="VerbatimChar"/>
        </w:rPr>
        <w:t xml:space="preserve">subprocess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3" w:name="功能需求"/>
    <w:p>
      <w:pPr>
        <w:pStyle w:val="Heading2"/>
      </w:pPr>
      <w:r>
        <w:t xml:space="preserve">3 功能需求</w:t>
      </w:r>
    </w:p>
    <w:bookmarkStart w:id="33" w:name="用例模型"/>
    <w:p>
      <w:pPr>
        <w:pStyle w:val="Heading3"/>
      </w:pPr>
      <w:r>
        <w:t xml:space="preserve">3.1 用例模型</w:t>
      </w:r>
    </w:p>
    <w:p>
      <w:pPr>
        <w:pStyle w:val="FirstParagraph"/>
      </w:pPr>
      <w:r>
        <w:t xml:space="preserve">系统的参与者与用例关系如图 2.1 所示。主要参与者为</w:t>
      </w:r>
      <w:r>
        <w:rPr>
          <w:bCs/>
          <w:b/>
        </w:rPr>
        <w:t xml:space="preserve">运维管理员</w:t>
      </w:r>
      <w:r>
        <w:t xml:space="preserve">；</w:t>
      </w:r>
      <w:r>
        <w:rPr>
          <w:bCs/>
          <w:b/>
        </w:rPr>
        <w:t xml:space="preserve">攻击者</w:t>
      </w:r>
      <w:r>
        <w:t xml:space="preserve">作为威胁主体通过对话诱导越权，被系统的「提示词注入防御」「危险操作拦截」用例处置；</w:t>
      </w:r>
      <w:r>
        <w:rPr>
          <w:bCs/>
          <w:b/>
        </w:rPr>
        <w:t xml:space="preserve">DeepSeek 大模型</w:t>
      </w:r>
      <w:r>
        <w:t xml:space="preserve">与</w:t>
      </w:r>
      <w:r>
        <w:rPr>
          <w:bCs/>
          <w:b/>
        </w:rPr>
        <w:t xml:space="preserve">麒麟操作系统</w:t>
      </w:r>
      <w:r>
        <w:t xml:space="preserve">作为外部参与者参与编排推理与系统感知。</w:t>
      </w:r>
    </w:p>
    <w:p>
      <w:pPr>
        <w:pStyle w:val="CaptionedFigure"/>
      </w:pPr>
      <w:r>
        <w:drawing>
          <wp:inline>
            <wp:extent cx="5334000" cy="5274382"/>
            <wp:effectExtent b="0" l="0" r="0" t="0"/>
            <wp:docPr descr="用例图" title="" id="31" name="Picture"/>
            <a:graphic>
              <a:graphicData uri="http://schemas.openxmlformats.org/drawingml/2006/picture">
                <pic:pic>
                  <pic:nvPicPr>
                    <pic:cNvPr descr="uml/usecas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4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用例图</w:t>
      </w:r>
    </w:p>
    <w:p>
      <w:pPr>
        <w:pStyle w:val="BodyText"/>
      </w:pPr>
      <w:r>
        <w:t xml:space="preserve">图 2.1　麒麟安全智能运维 Agent 用例图</w:t>
      </w:r>
    </w:p>
    <w:bookmarkEnd w:id="33"/>
    <w:bookmarkStart w:id="37" w:name="关键用例描述"/>
    <w:p>
      <w:pPr>
        <w:pStyle w:val="Heading3"/>
      </w:pPr>
      <w:r>
        <w:t xml:space="preserve">3.2 关键用例描述</w:t>
      </w:r>
    </w:p>
    <w:bookmarkStart w:id="34" w:name="用例-uc1自然语言运维对话"/>
    <w:p>
      <w:pPr>
        <w:pStyle w:val="Heading4"/>
      </w:pPr>
      <w:r>
        <w:t xml:space="preserve">用例 UC1：自然语言运维对话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运维管理员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系统已启动，MCP 工具与 LLM provider 就绪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主事件流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管理员输入自然语言运维指令；② 系统执行意图风险过滤（防线1）与提示词注入体检（防线3）；③ 对修改类意图叠加 LLM 语义研判（防线1.5）；④ LLM 从只读 MCP 工具中选工具并采集系统状态；⑤ 不可信工具输出经 CaMeL 隔离阅读；⑥ LLM 据结果给出结论；⑦ 五段思维链落库。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备选流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2a 判黑/命中注入 → 直接拒绝，不进入 LLM；3a 语义研判为高危 → 拦截并建议改述。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返回结论与</w:t>
            </w:r>
            <w:r>
              <w:t xml:space="preserve"> </w:t>
            </w:r>
            <w:r>
              <w:rPr>
                <w:rStyle w:val="VerbatimChar"/>
              </w:rPr>
              <w:t xml:space="preserve">trace_id</w:t>
            </w:r>
            <w:r>
              <w:t xml:space="preserve">，可供回放</w:t>
            </w:r>
          </w:p>
        </w:tc>
      </w:tr>
    </w:tbl>
    <w:bookmarkEnd w:id="34"/>
    <w:bookmarkStart w:id="35" w:name="用例-uc4执行受控处置动作"/>
    <w:p>
      <w:pPr>
        <w:pStyle w:val="Heading4"/>
      </w:pPr>
      <w:r>
        <w:t xml:space="preserve">用例 UC4：执行受控处置动作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运维管理员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已通过对话/诊断定位问题，存在可处置项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主事件流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管理员从 7 个白名单动作中选择并发起；② 强制二次确认；③ 动作层语义校验（文件关键性 / 受保护进程等）；④ 命令护栏二次校验（防线2）；⑤ 最小权限校验（防线4）；⑥ 沙箱内最小权限执行；⑦ 五段思维链落库。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备选流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任一层不通过即拦截；未确认则只返回护栏裁决预览（</w:t>
            </w:r>
            <w:r>
              <w:rPr>
                <w:rStyle w:val="VerbatimChar"/>
              </w:rPr>
              <w:t xml:space="preserve">require_confirm</w:t>
            </w:r>
            <w:r>
              <w:t xml:space="preserve">），绝不执行。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返回执行结果与</w:t>
            </w:r>
            <w:r>
              <w:t xml:space="preserve"> </w:t>
            </w:r>
            <w:r>
              <w:rPr>
                <w:rStyle w:val="VerbatimChar"/>
              </w:rPr>
              <w:t xml:space="preserve">trace_id</w:t>
            </w:r>
          </w:p>
        </w:tc>
      </w:tr>
    </w:tbl>
    <w:bookmarkEnd w:id="35"/>
    <w:bookmarkStart w:id="36" w:name="用例-uc7危险操作拦截扩展用例"/>
    <w:p>
      <w:pPr>
        <w:pStyle w:val="Heading4"/>
      </w:pPr>
      <w:r>
        <w:t xml:space="preserve">用例 UC7：危险操作拦截（扩展用例）</w:t>
      </w:r>
    </w:p>
    <w:p>
      <w:pPr>
        <w:pStyle w:val="FirstParagraph"/>
      </w:pPr>
      <w:r>
        <w:t xml:space="preserve">当对话或受控动作产出的候选命令命中高危规则（删库、格式化、提权、外联反弹 shell、注入等）时，在执行点触发拦截行为：CRITICAL 级无条件拒绝，HIGH/MEDIUM 级按授权/确认门控处置，并将拦截原因写入审计并向用户解释。</w:t>
      </w:r>
    </w:p>
    <w:bookmarkEnd w:id="36"/>
    <w:bookmarkEnd w:id="37"/>
    <w:bookmarkStart w:id="38" w:name="基本功能需求对应赛题"/>
    <w:p>
      <w:pPr>
        <w:pStyle w:val="Heading3"/>
      </w:pPr>
      <w:r>
        <w:t xml:space="preserve">3.3 基本功能需求（对应赛题）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环境深度感知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自动调用</w:t>
            </w:r>
            <w:r>
              <w:t xml:space="preserve"> </w:t>
            </w:r>
            <w:r>
              <w:rPr>
                <w:rStyle w:val="VerbatimChar"/>
              </w:rPr>
              <w:t xml:space="preserve">lsof</w:t>
            </w:r>
            <w:r>
              <w:t xml:space="preserve">/</w:t>
            </w:r>
            <w:r>
              <w:rPr>
                <w:rStyle w:val="VerbatimChar"/>
              </w:rPr>
              <w:t xml:space="preserve">netstat</w:t>
            </w:r>
            <w:r>
              <w:t xml:space="preserve">/</w:t>
            </w:r>
            <w:r>
              <w:rPr>
                <w:rStyle w:val="VerbatimChar"/>
              </w:rPr>
              <w:t xml:space="preserve">journalctl</w:t>
            </w:r>
            <w:r>
              <w:t xml:space="preserve">/</w:t>
            </w:r>
            <w:r>
              <w:rPr>
                <w:rStyle w:val="VerbatimChar"/>
              </w:rPr>
              <w:t xml:space="preserve">df</w:t>
            </w:r>
            <w:r>
              <w:t xml:space="preserve">/</w:t>
            </w:r>
            <w:r>
              <w:rPr>
                <w:rStyle w:val="VerbatimChar"/>
              </w:rPr>
              <w:t xml:space="preserve">ss</w:t>
            </w:r>
            <w:r>
              <w:t xml:space="preserve">/</w:t>
            </w:r>
            <w:r>
              <w:rPr>
                <w:rStyle w:val="VerbatimChar"/>
              </w:rPr>
              <w:t xml:space="preserve">psutil</w:t>
            </w:r>
            <w:r>
              <w:t xml:space="preserve"> </w:t>
            </w:r>
            <w:r>
              <w:t xml:space="preserve">等获取进程、网络、日志、磁盘、句柄、系统等实时上下文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列出工具、调用工具拿到实时数据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运维插件化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采用插件化架构，将运维动作封装为 Agent 可调用的 Tools，统一注册、标注读写级别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工具以 MCP 暴露、可列、可调用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安全意图校验器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建立风险识别规则库，对 LLM 生成的原始指令做二次过滤，识别</w:t>
            </w:r>
            <w:r>
              <w:t xml:space="preserve"> </w:t>
            </w:r>
            <w:r>
              <w:rPr>
                <w:rStyle w:val="VerbatimChar"/>
              </w:rPr>
              <w:t xml:space="preserve">rm</w:t>
            </w:r>
            <w:r>
              <w:t xml:space="preserve"> </w:t>
            </w:r>
            <w:r>
              <w:t xml:space="preserve">危险参数、不安全</w:t>
            </w:r>
            <w:r>
              <w:t xml:space="preserve"> </w:t>
            </w:r>
            <w:r>
              <w:rPr>
                <w:rStyle w:val="VerbatimChar"/>
              </w:rPr>
              <w:t xml:space="preserve">chmod</w:t>
            </w:r>
            <w:r>
              <w:t xml:space="preserve"> </w:t>
            </w:r>
            <w:r>
              <w:t xml:space="preserve">等高危操作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危险命令被拦截并解释原因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最小权限代理执行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权限隔离，核心运维动作在受限 Account 下运行，非必要不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需提权操作未授权即被拦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推理链路溯源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完整记录「接收指令→感知环境→推理决策→安全校验→执行结果」闭环日志，支持异常回溯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 trace_id 回放整条链路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智能化根因分析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磁盘满→定位大文件→判断关键性→给建议；僵尸进程定位父进程；负载/内存/IO/配置漂移关联分析（评分④）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给出证据链与处置建议，不自动执行</w:t>
            </w:r>
          </w:p>
        </w:tc>
      </w:tr>
    </w:tbl>
    <w:bookmarkEnd w:id="38"/>
    <w:bookmarkStart w:id="42" w:name="业务流程活动图"/>
    <w:p>
      <w:pPr>
        <w:pStyle w:val="Heading3"/>
      </w:pPr>
      <w:r>
        <w:t xml:space="preserve">3.4 业务流程（活动图）</w:t>
      </w:r>
    </w:p>
    <w:p>
      <w:pPr>
        <w:pStyle w:val="FirstParagraph"/>
      </w:pPr>
      <w:r>
        <w:t xml:space="preserve">一次完整运维请求的活动流如图 2.2 所示。图中以泳道区分「用户/前端」「护栏+编排器」「MCP 工具层/执行器」「审计」四个职责域，并清晰标注安全护栏的各个分支判定点（判黑/注入、语义研判、命令规则、最小权限）。任一安全分支不通过都会被拦截并落审计，体现「安全护栏贯穿全流程」。</w:t>
      </w:r>
    </w:p>
    <w:p>
      <w:pPr>
        <w:pStyle w:val="CaptionedFigure"/>
      </w:pPr>
      <w:r>
        <w:drawing>
          <wp:inline>
            <wp:extent cx="5334000" cy="8070445"/>
            <wp:effectExtent b="0" l="0" r="0" t="0"/>
            <wp:docPr descr="活动图" title="" id="40" name="Picture"/>
            <a:graphic>
              <a:graphicData uri="http://schemas.openxmlformats.org/drawingml/2006/picture">
                <pic:pic>
                  <pic:nvPicPr>
                    <pic:cNvPr descr="uml/activity-op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70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活动图</w:t>
      </w:r>
    </w:p>
    <w:p>
      <w:pPr>
        <w:pStyle w:val="BodyText"/>
      </w:pPr>
      <w:r>
        <w:t xml:space="preserve">图 2.2　一次运维请求的活动图（含安全护栏分支）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非功能需求"/>
    <w:p>
      <w:pPr>
        <w:pStyle w:val="Heading2"/>
      </w:pPr>
      <w:r>
        <w:t xml:space="preserve">4 非功能需求</w:t>
      </w:r>
    </w:p>
    <w:bookmarkStart w:id="44" w:name="确定性与可靠性"/>
    <w:p>
      <w:pPr>
        <w:pStyle w:val="Heading3"/>
      </w:pPr>
      <w:r>
        <w:t xml:space="preserve">4.1 确定性与可靠性</w:t>
      </w:r>
    </w:p>
    <w:p>
      <w:pPr>
        <w:numPr>
          <w:ilvl w:val="0"/>
          <w:numId w:val="1004"/>
        </w:numPr>
        <w:pStyle w:val="Compact"/>
      </w:pPr>
      <w:r>
        <w:t xml:space="preserve">严禁 Agent 在未授权情况下修改系统关键配置文件（</w:t>
      </w:r>
      <w:r>
        <w:rPr>
          <w:rStyle w:val="VerbatimChar"/>
        </w:rPr>
        <w:t xml:space="preserve">/etc/passwd</w:t>
      </w:r>
      <w:r>
        <w:t xml:space="preserve">、</w:t>
      </w:r>
      <w:r>
        <w:rPr>
          <w:rStyle w:val="VerbatimChar"/>
        </w:rPr>
        <w:t xml:space="preserve">/etc/fstab</w:t>
      </w:r>
      <w:r>
        <w:t xml:space="preserve">、</w:t>
      </w:r>
      <w:r>
        <w:rPr>
          <w:rStyle w:val="VerbatimChar"/>
        </w:rPr>
        <w:t xml:space="preserve">sshd_config</w:t>
      </w:r>
      <w:r>
        <w:t xml:space="preserve"> </w:t>
      </w:r>
      <w:r>
        <w:t xml:space="preserve">等）；</w:t>
      </w:r>
    </w:p>
    <w:p>
      <w:pPr>
        <w:numPr>
          <w:ilvl w:val="0"/>
          <w:numId w:val="1004"/>
        </w:numPr>
        <w:pStyle w:val="Compact"/>
      </w:pPr>
      <w:r>
        <w:t xml:space="preserve">所有可变命令必经统一执行器出口与安全护栏，护栏不放行绝不执行；</w:t>
      </w:r>
    </w:p>
    <w:p>
      <w:pPr>
        <w:numPr>
          <w:ilvl w:val="0"/>
          <w:numId w:val="1004"/>
        </w:numPr>
        <w:pStyle w:val="Compact"/>
      </w:pPr>
      <w:r>
        <w:t xml:space="preserve">护栏规则可热加载，但红线规则（CRITICAL+DENY 绝命操作）硬编码兜底，配置层无法削弱；</w:t>
      </w:r>
    </w:p>
    <w:p>
      <w:pPr>
        <w:numPr>
          <w:ilvl w:val="0"/>
          <w:numId w:val="1004"/>
        </w:numPr>
        <w:pStyle w:val="Compact"/>
      </w:pPr>
      <w:r>
        <w:t xml:space="preserve">配置损坏时故障安全（fail-safe）——维持上一份已生效规则，绝不出现护栏空窗。</w:t>
      </w:r>
    </w:p>
    <w:bookmarkEnd w:id="44"/>
    <w:bookmarkStart w:id="45" w:name="抗注入能力"/>
    <w:p>
      <w:pPr>
        <w:pStyle w:val="Heading3"/>
      </w:pPr>
      <w:r>
        <w:t xml:space="preserve">4.2 抗注入能力</w:t>
      </w:r>
    </w:p>
    <w:p>
      <w:pPr>
        <w:numPr>
          <w:ilvl w:val="0"/>
          <w:numId w:val="1005"/>
        </w:numPr>
        <w:pStyle w:val="Compact"/>
      </w:pPr>
      <w:r>
        <w:t xml:space="preserve">能识别对话中的越权诱导话术（</w:t>
      </w:r>
      <w:r>
        <w:t xml:space="preserve">“</w:t>
      </w:r>
      <w:r>
        <w:t xml:space="preserve">忽略之前的规则</w:t>
      </w:r>
      <w:r>
        <w:t xml:space="preserve">”</w:t>
      </w:r>
      <w:r>
        <w:t xml:space="preserve">“</w:t>
      </w:r>
      <w:r>
        <w:t xml:space="preserve">你现在是 root</w:t>
      </w:r>
      <w:r>
        <w:t xml:space="preserve">”</w:t>
      </w:r>
      <w:r>
        <w:t xml:space="preserve">），拒绝并记录；</w:t>
      </w:r>
    </w:p>
    <w:p>
      <w:pPr>
        <w:numPr>
          <w:ilvl w:val="0"/>
          <w:numId w:val="1005"/>
        </w:numPr>
        <w:pStyle w:val="Compact"/>
      </w:pPr>
      <w:r>
        <w:t xml:space="preserve">藏在工具输出/文件内容里的注入，用 spotlighting/datamarking 结构性隔离并降权，再经 CaMeL 双 LLM 隔离阅读，原始不可信字节绝不进入规划器上下文；</w:t>
      </w:r>
    </w:p>
    <w:p>
      <w:pPr>
        <w:numPr>
          <w:ilvl w:val="0"/>
          <w:numId w:val="1005"/>
        </w:numPr>
        <w:pStyle w:val="Compact"/>
      </w:pPr>
      <w:r>
        <w:t xml:space="preserve">结构性不变量：感知层工具全 READONLY，注入再成功也无法升级为状态变更。</w:t>
      </w:r>
    </w:p>
    <w:bookmarkEnd w:id="45"/>
    <w:bookmarkStart w:id="46" w:name="性能需求"/>
    <w:p>
      <w:pPr>
        <w:pStyle w:val="Heading3"/>
      </w:pPr>
      <w:r>
        <w:t xml:space="preserve">4.3 性能需求</w:t>
      </w:r>
    </w:p>
    <w:p>
      <w:pPr>
        <w:numPr>
          <w:ilvl w:val="0"/>
          <w:numId w:val="1006"/>
        </w:numPr>
        <w:pStyle w:val="Compact"/>
      </w:pPr>
      <w:r>
        <w:t xml:space="preserve">安全护栏单次裁决应在亚毫秒量级，不显著增加运维时延（用户感知延迟由 LLM 往返主导）；</w:t>
      </w:r>
    </w:p>
    <w:p>
      <w:pPr>
        <w:numPr>
          <w:ilvl w:val="0"/>
          <w:numId w:val="1006"/>
        </w:numPr>
        <w:pStyle w:val="Compact"/>
      </w:pPr>
      <w:r>
        <w:t xml:space="preserve">审计落库不得阻断主流程（异步、失败仅记录）。</w:t>
      </w:r>
    </w:p>
    <w:bookmarkEnd w:id="46"/>
    <w:bookmarkStart w:id="47" w:name="安全与权限"/>
    <w:p>
      <w:pPr>
        <w:pStyle w:val="Heading3"/>
      </w:pPr>
      <w:r>
        <w:t xml:space="preserve">4.4 安全与权限</w:t>
      </w:r>
    </w:p>
    <w:p>
      <w:pPr>
        <w:numPr>
          <w:ilvl w:val="0"/>
          <w:numId w:val="1007"/>
        </w:numPr>
        <w:pStyle w:val="Compact"/>
      </w:pPr>
      <w:r>
        <w:t xml:space="preserve">受控动作端点是唯一可改系统状态的入口，须经 operator token 鉴权（生产环境）；</w:t>
      </w:r>
    </w:p>
    <w:p>
      <w:pPr>
        <w:numPr>
          <w:ilvl w:val="0"/>
          <w:numId w:val="1007"/>
        </w:numPr>
        <w:pStyle w:val="Compact"/>
      </w:pPr>
      <w:r>
        <w:t xml:space="preserve">默认仅监听 127.0.0.1；</w:t>
      </w:r>
    </w:p>
    <w:p>
      <w:pPr>
        <w:numPr>
          <w:ilvl w:val="0"/>
          <w:numId w:val="1007"/>
        </w:numPr>
        <w:pStyle w:val="Compact"/>
      </w:pPr>
      <w:r>
        <w:t xml:space="preserve">审计落库前对凭据（token/key/password/私钥）做脱敏。</w:t>
      </w:r>
    </w:p>
    <w:bookmarkEnd w:id="47"/>
    <w:bookmarkStart w:id="48" w:name="国产化"/>
    <w:p>
      <w:pPr>
        <w:pStyle w:val="Heading3"/>
      </w:pPr>
      <w:r>
        <w:t xml:space="preserve">4.5 国产化</w:t>
      </w:r>
    </w:p>
    <w:p>
      <w:pPr>
        <w:numPr>
          <w:ilvl w:val="0"/>
          <w:numId w:val="1008"/>
        </w:numPr>
        <w:pStyle w:val="Compact"/>
      </w:pPr>
      <w:r>
        <w:t xml:space="preserve">大模型采用国产开源 DeepSeek；后端、数据库、前端组件优先国产/开源；</w:t>
      </w:r>
    </w:p>
    <w:p>
      <w:pPr>
        <w:numPr>
          <w:ilvl w:val="0"/>
          <w:numId w:val="1008"/>
        </w:numPr>
        <w:pStyle w:val="Compact"/>
      </w:pPr>
      <w:r>
        <w:t xml:space="preserve">部署目标为国产 LoongArch 架构 + 麒麟操作系统。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数据需求"/>
    <w:p>
      <w:pPr>
        <w:pStyle w:val="Heading2"/>
      </w:pPr>
      <w:r>
        <w:t xml:space="preserve">5 数据需求</w:t>
      </w:r>
    </w:p>
    <w:p>
      <w:pPr>
        <w:pStyle w:val="FirstParagraph"/>
      </w:pPr>
      <w:r>
        <w:t xml:space="preserve">系统的审计数据采用 SQLite 存储，核心为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（会话）与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（思维段）两张表，通过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 </w:t>
      </w:r>
      <w:r>
        <w:t xml:space="preserve">一对多关联，并以 HMAC 哈希链防篡改（详见功能设计文档图 4.4 E-R 图）。审计数据需可按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 </w:t>
      </w:r>
      <w:r>
        <w:t xml:space="preserve">完整回放，并支持完整性校验与证据包导出。</w:t>
      </w:r>
    </w:p>
    <w:p>
      <w:r>
        <w:pict>
          <v:rect style="width:0;height:1.5pt" o:hralign="center" o:hrstd="t" o:hr="t"/>
        </w:pict>
      </w:r>
    </w:p>
    <w:bookmarkEnd w:id="50"/>
    <w:bookmarkStart w:id="51" w:name="需求追溯矩阵"/>
    <w:p>
      <w:pPr>
        <w:pStyle w:val="Heading2"/>
      </w:pPr>
      <w:r>
        <w:t xml:space="preserve">6 需求追溯矩阵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赛题需求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本文档需求项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对应模块（设计文档）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验证（测试报告）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感知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Server（23 工具）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test_tools / test_tools_extended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 插件化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mcp_server.REGISTRY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test_mcp_loop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安全意图校验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guardrail（四道防线）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test_guardrail / test_guardrail_redteam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最小权限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 / executor / sandbox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test_privilege_posture / test_sandbox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audit.store（五段+哈希链）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test_audit / test_evidence_pack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根因分析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core.diagnosis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test_diagnosis / test_diagnosis_ext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抗注入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/ context_sanitizer / flow_control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test_e2e_injection / test_spotlighting / test_taint</w:t>
            </w:r>
          </w:p>
        </w:tc>
      </w:tr>
    </w:tbl>
    <w:bookmarkEnd w:id="51"/>
    <w:bookmarkEnd w:id="52"/>
    <w:sectPr/>
    <w:sectPr>
      <w:pgSz w:w="11906" w:h="16838"/>
      <w:pgMar w:top="1417" w:right="1134" w:bottom="1134" w:left="1417" w:header="1134" w:footer="1134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4"/>
        <w:szCs w:val="24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黑体" w:cs="黑体" w:eastAsia="黑体" w:hAnsi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黑体" w:cs="黑体" w:eastAsia="黑体" w:hAnsi="黑体"/>
      <w:b/>
      <w:bCs/>
      <w:color w:val="000000"/>
      <w:sz w:val="30"/>
      <w:szCs w:val="3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黑体" w:cs="黑体" w:eastAsia="黑体" w:hAnsi="黑体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黑体" w:cs="黑体" w:eastAsia="黑体" w:hAnsi="黑体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黑体" w:cs="黑体" w:eastAsia="黑体" w:hAnsi="黑体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黑体" w:cs="黑体" w:eastAsia="黑体" w:hAnsi="黑体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黑体" w:cs="黑体" w:eastAsia="黑体" w:hAnsi="黑体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黑体" w:cs="黑体" w:eastAsia="黑体" w:hAnsi="黑体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黑体" w:cs="黑体" w:eastAsia="黑体" w:hAnsi="黑体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黑体" w:cs="黑体" w:eastAsia="黑体" w:hAnsi="黑体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黑体" w:cs="黑体" w:eastAsia="黑体" w:hAnsi="黑体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2026-06-23T02:23:15Z</dcterms:created>
  <dcterms:modified xsi:type="dcterms:W3CDTF">2026-06-23T02:23:15Z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