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神圣家族。</w:t>
      </w:r>
    </w:p>
    <w:p>
      <w:pPr>
        <w:pStyle w:val="BodyText"/>
      </w:pPr>
    </w:p>
    <w:p>
      <w:pPr>
        <w:pStyle w:val="BodyText"/>
      </w:pPr>
      <w:r>
        <w:rPr>
          <w:rFonts w:hint="eastAsia"/>
        </w:rPr>
        <w:t xml:space="preserve">摘要：《神圣家族》作为马克思与恩格斯的首次合作著作，在马克思主义发展史上扮演着关键的过渡角色。其中，对于</w:t>
      </w:r>
      <w:r>
        <w:t xml:space="preserve"> </w:t>
      </w:r>
      <w:r>
        <w:rPr>
          <w:rFonts w:hint="eastAsia"/>
          <w:b/>
          <w:bCs/>
        </w:rPr>
        <w:t xml:space="preserve">“生产关系”</w:t>
      </w:r>
      <w:r>
        <w:t xml:space="preserve"> </w:t>
      </w:r>
      <w:r>
        <w:rPr>
          <w:rFonts w:hint="eastAsia"/>
        </w:rPr>
        <w:t xml:space="preserve">概念的初步探索与分析，构成了该文本最具原创性与前瞻性的理论贡献，标志着其唯物史观孕育过程中的重要突破。它实现了</w:t>
      </w:r>
      <w:r>
        <w:t xml:space="preserve"> </w:t>
      </w:r>
      <w:r>
        <w:rPr>
          <w:rFonts w:hint="eastAsia"/>
          <w:b/>
          <w:bCs/>
        </w:rPr>
        <w:t xml:space="preserve">三个关键转变的萌芽</w:t>
      </w:r>
      <w:r>
        <w:rPr>
          <w:rFonts w:hint="eastAsia"/>
        </w:rPr>
        <w:t xml:space="preserve">：从对人类“类本质”的思辨转向对现实社会关系（特别是生产关系）的关注；从伦理批判的“异化史观”转向基于客观社会矛盾的分析；为《德意志意识形态》中完整的历史唯物主义体系，尤其是生产力与生产关系矛盾运动的原理，进行了重要的</w:t>
      </w:r>
      <w:r>
        <w:t xml:space="preserve"> </w:t>
      </w:r>
      <w:r>
        <w:rPr>
          <w:rFonts w:hint="eastAsia"/>
          <w:b/>
          <w:bCs/>
        </w:rPr>
        <w:t xml:space="preserve">理论清场与概念预备</w:t>
      </w:r>
      <w:r>
        <w:rPr>
          <w:rFonts w:hint="eastAsia"/>
        </w:rPr>
        <w:t xml:space="preserve">。因此，《神圣家族》中的</w:t>
      </w:r>
      <w:r>
        <w:t xml:space="preserve"> </w:t>
      </w:r>
      <w:r>
        <w:rPr>
          <w:rFonts w:hint="eastAsia"/>
          <w:b/>
          <w:bCs/>
        </w:rPr>
        <w:t xml:space="preserve">“生产关系”</w:t>
      </w:r>
      <w:r>
        <w:t xml:space="preserve"> </w:t>
      </w:r>
      <w:r>
        <w:rPr>
          <w:rFonts w:hint="eastAsia"/>
        </w:rPr>
        <w:t xml:space="preserve">概念，如同一座桥梁，连接了《1844年手稿》的人本主义批判与《德意志意识形态》的科学历史观，是理解马克思主义哲学革命起源不可或缺的一环。</w:t>
      </w:r>
    </w:p>
    <w:p>
      <w:pPr>
        <w:pStyle w:val="BodyText"/>
      </w:pPr>
      <w:r>
        <w:rPr>
          <w:rFonts w:hint="eastAsia"/>
        </w:rPr>
        <w:t xml:space="preserve">背景介绍：</w:t>
      </w:r>
      <w:r>
        <w:br/>
      </w:r>
      <w:r>
        <w:rPr>
          <w:rFonts w:hint="eastAsia"/>
        </w:rPr>
        <w:t xml:space="preserve">《神圣家族，或对批判的批判所做的批判。驳布鲁诺·鲍威尔及其伙伴》（简称《神圣家族》）是卡尔·马克思与弗里德里希·恩格斯首次合作的著作，撰写于1844年9月至11月间，次年2月出版。</w:t>
      </w:r>
      <w:r>
        <w:br/>
      </w:r>
      <w:r>
        <w:rPr>
          <w:rFonts w:hint="eastAsia"/>
        </w:rPr>
        <w:t xml:space="preserve">文本地位：</w:t>
      </w:r>
      <w:r>
        <w:br/>
      </w:r>
      <w:r>
        <w:rPr>
          <w:rFonts w:hint="eastAsia"/>
        </w:rPr>
        <w:t xml:space="preserve">《神圣家族》是马克思的早期文本，在历史长河中，学界对于此文本的评价莫衷一是，但仍有大多数学者认为这是一部过渡性著作。</w:t>
      </w:r>
      <w:r>
        <w:br/>
      </w:r>
      <w:r>
        <w:rPr>
          <w:rFonts w:hint="eastAsia"/>
        </w:rPr>
        <w:t xml:space="preserve">1.其中之一的代表便是列宁，他认为，此书奠定了革命唯物主义的社会主义基础。</w:t>
      </w:r>
      <w:r>
        <w:br/>
      </w:r>
      <w:r>
        <w:rPr>
          <w:rFonts w:hint="eastAsia"/>
        </w:rPr>
        <w:t xml:space="preserve">列宁做出这个判断的理由由此：</w:t>
      </w:r>
      <w:r>
        <w:br/>
      </w:r>
      <w:r>
        <w:rPr>
          <w:rFonts w:hint="eastAsia"/>
        </w:rPr>
        <w:t xml:space="preserve">1.1生产关系是唯物主义哲学的核心概念，而马克思的独到之处就在于从社会关系中挖掘与分析生产关系这一概念，而马恩第一次的合著《神圣家族》便是第一次初步的尝试，正是在这个文本中，首次出现并对生产关系这一概念进行了初步的分析，尽管列宁补充到，这样的分析初步而不完美，仍然没有摆脱费尔巴哈人本主义和自然主义的影响，并且对于政治经济学的认识还不够，但仍然是一次伟大的尝试。</w:t>
      </w:r>
      <w:r>
        <w:br/>
      </w:r>
      <w:r>
        <w:rPr>
          <w:rFonts w:hint="eastAsia"/>
        </w:rPr>
        <w:t xml:space="preserve">2《神圣家族》对同时代的影响，根据梅林的判断，似乎没有什么影响，他这样评价：文本内容过多，篇幅很多都涉及对于对手的讽刺，似乎根本没有多少人阅读了全书。但他认为比喻此书为“一堆熄灭了的煤炭”，如果读者火眼金睛，也许能发现一些光彩。麦克莱伦认为此书有影响的部分在于以下三个方面：</w:t>
      </w:r>
      <w:r>
        <w:br/>
      </w:r>
      <w:r>
        <w:t xml:space="preserve"> </w:t>
      </w:r>
      <w:r>
        <w:rPr>
          <w:rFonts w:hint="eastAsia"/>
        </w:rPr>
        <w:t xml:space="preserve">1.马克思回答鲍威尔对蒲鲁东批判的那一部分，也就是本书第四章的第四节部分（4.4）</w:t>
      </w:r>
      <w:r>
        <w:br/>
      </w:r>
      <w:r>
        <w:t xml:space="preserve"> </w:t>
      </w:r>
      <w:r>
        <w:rPr>
          <w:rFonts w:hint="eastAsia"/>
        </w:rPr>
        <w:t xml:space="preserve">2.讨论大众在历史中的作用</w:t>
      </w:r>
      <w:r>
        <w:br/>
      </w:r>
      <w:r>
        <w:t xml:space="preserve"> </w:t>
      </w:r>
      <w:r>
        <w:rPr>
          <w:rFonts w:hint="eastAsia"/>
        </w:rPr>
        <w:t xml:space="preserve">3.讨论唯物主义的部分</w:t>
      </w:r>
      <w:r>
        <w:br/>
      </w:r>
      <w:r>
        <w:t xml:space="preserve">3 </w:t>
      </w:r>
      <w:r>
        <w:rPr>
          <w:rFonts w:hint="eastAsia"/>
        </w:rPr>
        <w:t xml:space="preserve">国内学者的评价</w:t>
      </w:r>
      <w:r>
        <w:br/>
      </w:r>
      <w:r>
        <w:rPr>
          <w:rFonts w:hint="eastAsia"/>
        </w:rPr>
        <w:t xml:space="preserve">在2012年马工程教材《马克思主义哲学史》，编者认为《神圣家族》奠定了马克思和恩格斯终身为无产阶级解放事业共同奋斗的基础。并指出此书是处于《1844手稿》和《德意志意识形态》的中间性，过渡性文本，《1844手稿》用以解答历史之谜的是异化劳动理论，而《德意志意识形态》标志着唯物史观的形成。相对于手稿，马恩合著的《神圣家族》实现了三个意义上的转变：</w:t>
      </w:r>
    </w:p>
    <w:p>
      <w:pPr>
        <w:numPr>
          <w:ilvl w:val="0"/>
          <w:numId w:val="1001"/>
        </w:numPr>
      </w:pPr>
      <w:r>
        <w:rPr>
          <w:rFonts w:hint="eastAsia"/>
        </w:rPr>
        <w:t xml:space="preserve">抽象的人转向现实的人</w:t>
      </w:r>
    </w:p>
    <w:p>
      <w:pPr>
        <w:numPr>
          <w:ilvl w:val="0"/>
          <w:numId w:val="1001"/>
        </w:numPr>
      </w:pPr>
      <w:r>
        <w:rPr>
          <w:rFonts w:hint="eastAsia"/>
        </w:rPr>
        <w:t xml:space="preserve">从人类概念向生产概念的转变</w:t>
      </w:r>
    </w:p>
    <w:p>
      <w:pPr>
        <w:numPr>
          <w:ilvl w:val="0"/>
          <w:numId w:val="1001"/>
        </w:numPr>
      </w:pPr>
      <w:r>
        <w:rPr>
          <w:rFonts w:hint="eastAsia"/>
        </w:rPr>
        <w:t xml:space="preserve">从异化史观向实践观念的转变</w:t>
      </w:r>
      <w:r>
        <w:t xml:space="preserve"> </w:t>
      </w:r>
      <w:r>
        <w:br/>
      </w:r>
      <w:r>
        <w:rPr>
          <w:rFonts w:hint="eastAsia"/>
        </w:rPr>
        <w:t xml:space="preserve">书本结构：</w:t>
      </w:r>
      <w:r>
        <w:br/>
      </w:r>
      <w:r>
        <w:rPr>
          <w:rFonts w:hint="eastAsia"/>
        </w:rPr>
        <w:t xml:space="preserve">《神圣家族》一书篇幅章节不一，并且有的长有的短，我们大体可以分为以下几个部分：</w:t>
      </w:r>
    </w:p>
    <w:p>
      <w:pPr>
        <w:numPr>
          <w:ilvl w:val="0"/>
          <w:numId w:val="1001"/>
        </w:numPr>
      </w:pPr>
      <w:r>
        <w:rPr>
          <w:rFonts w:hint="eastAsia"/>
        </w:rPr>
        <w:t xml:space="preserve">4.4中马克思对于蒲鲁东的评价</w:t>
      </w:r>
    </w:p>
    <w:p>
      <w:pPr>
        <w:numPr>
          <w:ilvl w:val="0"/>
          <w:numId w:val="1001"/>
        </w:numPr>
      </w:pPr>
      <w:r>
        <w:rPr>
          <w:rFonts w:hint="eastAsia"/>
        </w:rPr>
        <w:t xml:space="preserve">第五章，第八章对于黑格尔的评价</w:t>
      </w:r>
    </w:p>
    <w:p>
      <w:pPr>
        <w:numPr>
          <w:ilvl w:val="0"/>
          <w:numId w:val="1001"/>
        </w:numPr>
      </w:pPr>
      <w:r>
        <w:rPr>
          <w:rFonts w:hint="eastAsia"/>
        </w:rPr>
        <w:t xml:space="preserve">第六章，马恩对鲍威尔的正面批判</w:t>
      </w:r>
    </w:p>
    <w:p>
      <w:pPr>
        <w:numPr>
          <w:ilvl w:val="0"/>
          <w:numId w:val="1001"/>
        </w:numPr>
      </w:pPr>
      <w:r>
        <w:rPr>
          <w:rFonts w:hint="eastAsia"/>
        </w:rPr>
        <w:t xml:space="preserve">第七章，马恩对于“通讯”的批判</w:t>
      </w:r>
    </w:p>
    <w:p>
      <w:pPr>
        <w:numPr>
          <w:ilvl w:val="0"/>
          <w:numId w:val="1001"/>
        </w:numPr>
      </w:pPr>
      <w:r>
        <w:rPr>
          <w:rFonts w:hint="eastAsia"/>
        </w:rPr>
        <w:t xml:space="preserve">前面恩格斯独立写作的五个短篇。</w:t>
      </w:r>
      <w:r>
        <w:br/>
      </w:r>
      <w:r>
        <w:rPr>
          <w:rFonts w:hint="eastAsia"/>
        </w:rPr>
        <w:t xml:space="preserve">马克思在序言这样说道：</w:t>
      </w:r>
    </w:p>
    <w:p>
      <w:pPr>
        <w:pStyle w:val="BlockText"/>
        <w:numPr>
          <w:ilvl w:val="0"/>
          <w:numId w:val="1002"/>
        </w:numPr>
      </w:pPr>
      <w:r>
        <w:rPr>
          <w:rFonts w:hint="eastAsia"/>
        </w:rPr>
        <w:t xml:space="preserve">现实人道主义在德国没有比唯灵论或者说思辨唯心主义更危险的敌人了。思辨唯心主义用“自我意识”即“精神”代替现实的个体的人。</w:t>
      </w:r>
    </w:p>
    <w:p>
      <w:pPr>
        <w:pStyle w:val="BlockText"/>
        <w:numPr>
          <w:ilvl w:val="0"/>
          <w:numId w:val="1003"/>
        </w:numPr>
      </w:pPr>
      <w:r>
        <w:rPr>
          <w:rFonts w:hint="eastAsia"/>
        </w:rPr>
        <w:t xml:space="preserve">更确切的说，是批判的批判使我们不得不用现已达到的成果来批驳它。</w:t>
      </w:r>
    </w:p>
    <w:p>
      <w:pPr>
        <w:pStyle w:val="FirstParagraph"/>
      </w:pPr>
      <w:r>
        <w:rPr>
          <w:rFonts w:hint="eastAsia"/>
        </w:rPr>
        <w:t xml:space="preserve">《神圣家族》第四章题为“体现为认识的宁静的批判的批判或埃德加先生所体现的批判的批判”</w:t>
      </w:r>
    </w:p>
    <w:p>
      <w:pPr>
        <w:pStyle w:val="BodyText"/>
      </w:pPr>
      <w:r>
        <w:rPr>
          <w:rFonts w:hint="eastAsia"/>
        </w:rPr>
        <w:t xml:space="preserve">如何理解在1842年前，马克思还大加赞赏鲍威尔，如今却和他划清界限，并写了近300面去批判鲍威尔的观念。如果鲍威尔是如此“泛泛其谈”，那么又有什么理由让马克思大家批判呢？我们可以从上文引用的另一处马克思原文找到思路，这里“已达成的成果”，显然是指费尔巴哈的哲学和普鲁东的经济学，因此批判的批判就是利用前述思想对于鲍威尔的批判的自我意识哲学进行再批判。而这个思路也完美体现在了4.4中马克思对于文本的处理方法上。</w:t>
      </w:r>
    </w:p>
    <w:p>
      <w:pPr>
        <w:pStyle w:val="BodyText"/>
      </w:pPr>
      <w:r>
        <w:rPr>
          <w:rFonts w:hint="eastAsia"/>
        </w:rPr>
        <w:t xml:space="preserve">马克思划分了“赋予特征的翻译”和“批判性的评注”，前者是鲍威尔对于普鲁东文本的翻译与诠释，而后者则是马克思本人对于普鲁东法文本原文的评价与对鲍威尔的反驳。总体上，马克思认为，鲍威尔脱离了对于具体国民经济学的讨论，翻译并且在此过程中曲解了普鲁东的原意，停留在一种空泛的唯心主义批判中，因此马克思进行了一次批判的批判，批判鲍威尔并阐释普鲁东本人的思想。马克思在写作此章的特点是论战性的，也就是马克思会引用大量文本并就这些文本细节一一反驳。</w:t>
      </w:r>
    </w:p>
    <w:p>
      <w:pPr>
        <w:pStyle w:val="BodyText"/>
      </w:pPr>
      <w:r>
        <w:rPr>
          <w:rFonts w:hint="eastAsia"/>
        </w:rPr>
        <w:t xml:space="preserve">对4.4的文本诠释</w:t>
      </w:r>
    </w:p>
    <w:p>
      <w:pPr>
        <w:pStyle w:val="BodyText"/>
      </w:pPr>
      <w:r>
        <w:rPr>
          <w:rFonts w:hint="eastAsia"/>
        </w:rPr>
        <w:t xml:space="preserve">马克思对普鲁东的评价很高，认为：普鲁东对于国民经济学中私有财产的批判是具有决定性意义的。在国民经济学中，私有财产是先天合理的，正如神学的历史起源对于神学家是先天合理的一样，但普鲁东对私有财产的合理性进行了质疑，大抵来说，国民经济学是从仅仅经济意义上来看待资本主义生产及其规律的，而忽视了人本身，而国民经济学又在表面上维持这份以人为本的考量。因此国民经济学自身陷入了矛盾中，而解决的方法就是质疑并抛弃私有财产这个概念。正如因神性所引发的大量讨论与人渐行渐远，人们就不得不抛弃掉神性一样。普鲁东对私有财产的关系体现在在《什么是财产中》表明并不存在什么先天就有的所有权关系，甚至这份关系本身是任意的。</w:t>
      </w:r>
      <w:r>
        <w:br/>
      </w:r>
      <w:r>
        <w:rPr>
          <w:rFonts w:hint="eastAsia"/>
        </w:rPr>
        <w:t xml:space="preserve">恩格斯认为商品的价值在于物品的生产费用和物品的社会效益来决定的，其中生产费用规定了商品的实际价值，而社会效益则规定了商品的交换价值。</w:t>
      </w:r>
      <w:r>
        <w:br/>
      </w:r>
      <w:r>
        <w:rPr>
          <w:rFonts w:hint="eastAsia"/>
        </w:rPr>
        <w:t xml:space="preserve">普鲁东则相反认为价值与生产费用和社会效益无关，只是一种纯粹的偶然，这是由于尽管形式上工资是由工人和资本家商量决定的，可事实是工人是被商量，被迫决定工资的。因此，资本家会把工资压迫到勉强养活工人的水平。对比恩格斯的《国民经济学批判大纲》，普鲁东的理论稍显逊色，因其没有把私有财产作为生产关系的综合来进行分析，不过也迈出了关键一步。</w:t>
      </w:r>
    </w:p>
    <w:p>
      <w:pPr>
        <w:pStyle w:val="BodyText"/>
      </w:pPr>
      <w:r>
        <w:rPr>
          <w:rFonts w:hint="eastAsia"/>
        </w:rPr>
        <w:t xml:space="preserve">参考文献：</w:t>
      </w:r>
      <w:r>
        <w:br/>
      </w:r>
      <w:r>
        <w:rPr>
          <w:rFonts w:hint="eastAsia"/>
        </w:rPr>
        <w:t xml:space="preserve">姜海波.</w:t>
      </w:r>
      <w:r>
        <w:t xml:space="preserve"> (2017).</w:t>
      </w:r>
      <w:r>
        <w:t xml:space="preserve"> </w:t>
      </w:r>
      <w:r>
        <w:rPr>
          <w:rFonts w:hint="eastAsia"/>
          <w:i/>
          <w:iCs/>
        </w:rPr>
        <w:t xml:space="preserve">马克思恩格斯《神圣家族》研究读本</w:t>
      </w:r>
      <w:r>
        <w:t xml:space="preserve">. </w:t>
      </w:r>
      <w:r>
        <w:rPr>
          <w:rFonts w:hint="eastAsia"/>
        </w:rPr>
        <w:t xml:space="preserve">中央编译出版社.</w:t>
      </w:r>
      <w:r>
        <w:br/>
      </w:r>
      <w:r>
        <w:rPr>
          <w:rFonts w:hint="eastAsia"/>
        </w:rPr>
        <w:t xml:space="preserve">刘秀萍.</w:t>
      </w:r>
      <w:r>
        <w:t xml:space="preserve"> (2018).</w:t>
      </w:r>
      <w:r>
        <w:t xml:space="preserve"> </w:t>
      </w:r>
      <w:r>
        <w:rPr>
          <w:rFonts w:hint="eastAsia"/>
          <w:i/>
          <w:iCs/>
        </w:rPr>
        <w:t xml:space="preserve">思想的剥离与锻造</w:t>
      </w:r>
      <w:r>
        <w:t xml:space="preserve">. </w:t>
      </w:r>
      <w:r>
        <w:rPr>
          <w:rFonts w:hint="eastAsia"/>
        </w:rPr>
        <w:t xml:space="preserve">中国人民大学出版社.</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2025-12-25T04:43:56Z</dcterms:created>
  <dcterms:modified xsi:type="dcterms:W3CDTF">2025-12-25T04:43:56Z</dcterms:modified>
</cp:coreProperties>
</file>

<file path=docProps/custom.xml><?xml version="1.0" encoding="utf-8"?>
<Properties xmlns="http://schemas.openxmlformats.org/officeDocument/2006/custom-properties" xmlns:vt="http://schemas.openxmlformats.org/officeDocument/2006/docPropsVTypes"/>
</file>