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8722D0" w14:textId="77777777" w:rsidR="00ED138D" w:rsidRDefault="00A625EB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未来区块链与隐私计算高精尖创新中心</w:t>
      </w:r>
    </w:p>
    <w:p w14:paraId="524F7E92" w14:textId="77777777" w:rsidR="00ED138D" w:rsidRDefault="00A625EB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基础任务周简报</w:t>
      </w:r>
    </w:p>
    <w:p w14:paraId="4EB78E4A" w14:textId="77777777" w:rsidR="00ED138D" w:rsidRDefault="00ED138D">
      <w:pPr>
        <w:tabs>
          <w:tab w:val="left" w:pos="5387"/>
        </w:tabs>
        <w:snapToGrid w:val="0"/>
        <w:spacing w:beforeLines="30" w:before="93" w:line="324" w:lineRule="auto"/>
        <w:rPr>
          <w:rFonts w:ascii="仿宋" w:eastAsia="仿宋" w:hAnsi="仿宋" w:cs="宋体"/>
          <w:sz w:val="10"/>
          <w:szCs w:val="1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5"/>
        <w:gridCol w:w="1133"/>
        <w:gridCol w:w="1080"/>
        <w:gridCol w:w="3678"/>
        <w:gridCol w:w="1196"/>
        <w:gridCol w:w="1944"/>
      </w:tblGrid>
      <w:tr w:rsidR="00ED138D" w14:paraId="50419C4A" w14:textId="77777777">
        <w:tc>
          <w:tcPr>
            <w:tcW w:w="1838" w:type="dxa"/>
            <w:gridSpan w:val="2"/>
          </w:tcPr>
          <w:p w14:paraId="72DA9242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2026年03月23日-2026年03月29日</w:t>
            </w:r>
          </w:p>
        </w:tc>
      </w:tr>
      <w:tr w:rsidR="00ED138D" w14:paraId="5C698033" w14:textId="77777777">
        <w:tc>
          <w:tcPr>
            <w:tcW w:w="1838" w:type="dxa"/>
            <w:gridSpan w:val="2"/>
          </w:tcPr>
          <w:p w14:paraId="0015A472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林怡静</w:t>
            </w:r>
          </w:p>
        </w:tc>
      </w:tr>
      <w:tr w:rsidR="00ED138D" w14:paraId="12D63612" w14:textId="77777777">
        <w:trPr>
          <w:trHeight w:val="553"/>
        </w:trPr>
        <w:tc>
          <w:tcPr>
            <w:tcW w:w="1838" w:type="dxa"/>
            <w:gridSpan w:val="2"/>
            <w:vMerge w:val="restart"/>
          </w:tcPr>
          <w:p w14:paraId="56681BBD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本月研究计划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72FCFB1F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本月任务： </w:t>
            </w:r>
          </w:p>
          <w:p w14:paraId="6E3ACFD1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1) 系统调研Agent框架（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LangGraph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>、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MetaGPT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>等）技术路线；</w:t>
            </w:r>
          </w:p>
          <w:p w14:paraId="614372FE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2) 完成实验环境搭建与数据/任务集准备；</w:t>
            </w:r>
          </w:p>
          <w:p w14:paraId="739F7407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3) 跑通2-3个Agent框架核心示例并沉淀可复现脚本；</w:t>
            </w:r>
          </w:p>
          <w:p w14:paraId="4733371D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4) 开展小规模对比实验，输出阶段性分析结论与改进建议。</w:t>
            </w:r>
          </w:p>
        </w:tc>
      </w:tr>
      <w:tr w:rsidR="00ED138D" w14:paraId="5FE56868" w14:textId="77777777">
        <w:trPr>
          <w:trHeight w:val="589"/>
        </w:trPr>
        <w:tc>
          <w:tcPr>
            <w:tcW w:w="1838" w:type="dxa"/>
            <w:gridSpan w:val="2"/>
            <w:vMerge/>
          </w:tcPr>
          <w:p w14:paraId="3EE4FE8C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72060890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本月成果指标：</w:t>
            </w:r>
          </w:p>
          <w:p w14:paraId="6C8375FE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1) 完成不少于20篇文献与技术资料阅读，形成1份综述与对比表；</w:t>
            </w:r>
          </w:p>
          <w:p w14:paraId="0A5290E1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2) 完成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 Agent+至少2个对照框架的代码跑通，累计不少于6组实验记录；</w:t>
            </w:r>
          </w:p>
          <w:p w14:paraId="2A56D88D" w14:textId="77777777" w:rsidR="00BD0DE7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3) 形成4期周报、1份月度阶段总结（含问题清单与下月计划）；</w:t>
            </w:r>
          </w:p>
          <w:p w14:paraId="1C8CC81B" w14:textId="7D6BC44E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</w:pPr>
            <w:r>
              <w:rPr>
                <w:rFonts w:ascii="仿宋" w:eastAsia="仿宋" w:hAnsi="仿宋" w:cs="宋体"/>
                <w:sz w:val="24"/>
                <w:szCs w:val="24"/>
              </w:rPr>
              <w:t>4</w:t>
            </w:r>
            <w:r>
              <w:rPr>
                <w:rFonts w:ascii="仿宋" w:eastAsia="仿宋" w:hAnsi="仿宋" w:cs="宋体" w:hint="eastAsia"/>
                <w:sz w:val="24"/>
                <w:szCs w:val="24"/>
              </w:rPr>
              <w:t>) 关键实验脚本可复现，核心流程可稳定运行。</w:t>
            </w:r>
          </w:p>
        </w:tc>
      </w:tr>
      <w:tr w:rsidR="00ED138D" w14:paraId="1734FB0F" w14:textId="77777777">
        <w:tc>
          <w:tcPr>
            <w:tcW w:w="1838" w:type="dxa"/>
            <w:gridSpan w:val="2"/>
            <w:vMerge w:val="restart"/>
          </w:tcPr>
          <w:p w14:paraId="7EE34B3F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本月任务分解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CFCFB12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文献调研与方案设计：检索并阅读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 Agent相关论文/博客，梳理架构、记忆机制、工具调用链路；</w:t>
            </w:r>
          </w:p>
          <w:p w14:paraId="00389EE9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输出：文献清单、技术对比矩阵、实验清单v1。</w:t>
            </w:r>
          </w:p>
        </w:tc>
      </w:tr>
      <w:tr w:rsidR="00ED138D" w14:paraId="302E9762" w14:textId="77777777">
        <w:tc>
          <w:tcPr>
            <w:tcW w:w="1838" w:type="dxa"/>
            <w:gridSpan w:val="2"/>
            <w:vMerge/>
          </w:tcPr>
          <w:p w14:paraId="66901A95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210CEE5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环境搭建与基线跑通：完成依赖安装、数据准备，优先跑通</w:t>
            </w:r>
            <w:proofErr w:type="spellStart"/>
            <w:r>
              <w:rPr>
                <w:rFonts w:ascii="仿宋" w:eastAsia="仿宋" w:hAnsi="仿宋" w:cs="宋体" w:hint="eastAsia"/>
                <w:sz w:val="24"/>
                <w:szCs w:val="24"/>
              </w:rPr>
              <w:t>AutoGen</w:t>
            </w:r>
            <w:proofErr w:type="spellEnd"/>
            <w:r>
              <w:rPr>
                <w:rFonts w:ascii="仿宋" w:eastAsia="仿宋" w:hAnsi="仿宋" w:cs="宋体" w:hint="eastAsia"/>
                <w:sz w:val="24"/>
                <w:szCs w:val="24"/>
              </w:rPr>
              <w:t xml:space="preserve"> Agent官方示例与最小任务链；</w:t>
            </w:r>
          </w:p>
          <w:p w14:paraId="59DDE1DC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输出：可运行环境说明、基线日志、问题清单v1。</w:t>
            </w:r>
          </w:p>
        </w:tc>
      </w:tr>
      <w:tr w:rsidR="00ED138D" w14:paraId="2DA9A80E" w14:textId="77777777">
        <w:tc>
          <w:tcPr>
            <w:tcW w:w="1838" w:type="dxa"/>
            <w:gridSpan w:val="2"/>
            <w:vMerge/>
          </w:tcPr>
          <w:p w14:paraId="067248A5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2F106129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对照实验与参数探索：复现2个同类Agent框架，开展多组任务测试（成功率/耗时/稳定性）；</w:t>
            </w:r>
          </w:p>
          <w:p w14:paraId="226C3E95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输出：实验记录表、参数建议、中期结论。</w:t>
            </w:r>
          </w:p>
        </w:tc>
      </w:tr>
      <w:tr w:rsidR="00ED138D" w14:paraId="16AE237A" w14:textId="77777777">
        <w:tc>
          <w:tcPr>
            <w:tcW w:w="1838" w:type="dxa"/>
            <w:gridSpan w:val="2"/>
            <w:vMerge/>
          </w:tcPr>
          <w:p w14:paraId="60A0F754" w14:textId="77777777" w:rsidR="00ED138D" w:rsidRDefault="00ED138D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3819AF34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结果汇总与报告撰写：完成对比分析、风险与改进项总结，形成月度汇报材料；</w:t>
            </w:r>
          </w:p>
          <w:p w14:paraId="4C63407F" w14:textId="77777777" w:rsidR="00ED138D" w:rsidRDefault="00A625EB">
            <w:pPr>
              <w:pBdr>
                <w:bottom w:val="single" w:sz="4" w:space="0" w:color="auto"/>
              </w:pBd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输出：月度总结报告、下月迭代计划。</w:t>
            </w:r>
          </w:p>
        </w:tc>
      </w:tr>
      <w:tr w:rsidR="00ED138D" w14:paraId="4D23798A" w14:textId="77777777">
        <w:tc>
          <w:tcPr>
            <w:tcW w:w="6596" w:type="dxa"/>
            <w:gridSpan w:val="4"/>
            <w:tcBorders>
              <w:top w:val="single" w:sz="12" w:space="0" w:color="auto"/>
            </w:tcBorders>
            <w:vAlign w:val="center"/>
          </w:tcPr>
          <w:p w14:paraId="3193C2E8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lastRenderedPageBreak/>
              <w:t>本周任务完成情况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</w:tcBorders>
            <w:vAlign w:val="center"/>
          </w:tcPr>
          <w:p w14:paraId="0CA911FB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周计划达成度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3</w:t>
            </w: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：100</w:t>
            </w:r>
            <w:r>
              <w:rPr>
                <w:rFonts w:ascii="仿宋" w:eastAsia="仿宋" w:hAnsi="仿宋" w:cs="宋体"/>
                <w:sz w:val="24"/>
                <w:szCs w:val="24"/>
              </w:rPr>
              <w:t>%</w:t>
            </w:r>
          </w:p>
        </w:tc>
      </w:tr>
      <w:tr w:rsidR="00ED138D" w14:paraId="1B67E67B" w14:textId="77777777">
        <w:tc>
          <w:tcPr>
            <w:tcW w:w="705" w:type="dxa"/>
            <w:vAlign w:val="center"/>
          </w:tcPr>
          <w:p w14:paraId="64FA752D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投入时间</w:t>
            </w:r>
            <w:r>
              <w:rPr>
                <w:rFonts w:ascii="仿宋" w:eastAsia="仿宋" w:hAnsi="仿宋" w:cs="宋体" w:hint="eastAsia"/>
                <w:b/>
                <w:bCs/>
                <w:sz w:val="15"/>
                <w:szCs w:val="15"/>
              </w:rPr>
              <w:t>（人/天）</w:t>
            </w:r>
          </w:p>
        </w:tc>
      </w:tr>
      <w:tr w:rsidR="00ED138D" w14:paraId="076AB4C1" w14:textId="77777777">
        <w:tc>
          <w:tcPr>
            <w:tcW w:w="705" w:type="dxa"/>
            <w:vAlign w:val="center"/>
          </w:tcPr>
          <w:p w14:paraId="7C01BF24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基于上周形成的实验记录表v1与参数建议文档，开展三框架综合对比分析，梳理各框架在任务成功率、执行耗时与稳定性上的优劣势，形成对比分析报告v1。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 w14:textId="108FAA13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26E3C9A0" w14:textId="77777777">
        <w:tc>
          <w:tcPr>
            <w:tcW w:w="705" w:type="dxa"/>
            <w:vAlign w:val="center"/>
          </w:tcPr>
          <w:p w14:paraId="23A50CA8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识别三框架实验过程中暴露的风险点与改进项，整理形成风险清单与改进建议文档。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 w14:textId="286CD32B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071F1D55" w14:textId="77777777">
        <w:tc>
          <w:tcPr>
            <w:tcW w:w="705" w:type="dxa"/>
            <w:vAlign w:val="center"/>
          </w:tcPr>
          <w:p w14:paraId="1F93F8D8" w14:textId="3F8BCCB0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</w:t>
            </w:r>
            <w:r w:rsidR="004C555F">
              <w:rPr>
                <w:rFonts w:ascii="仿宋" w:eastAsia="仿宋" w:hAnsi="仿宋" w:cs="宋体"/>
                <w:sz w:val="24"/>
                <w:szCs w:val="24"/>
              </w:rPr>
              <w:t>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整合月度全量实验成果（文献清单、实验记录、对比分析），撰写月度总结报告（含研究背景、实验过程、核心结论与问题清单）。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 w14:textId="4C599A21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062955A0" w14:textId="77777777">
        <w:tc>
          <w:tcPr>
            <w:tcW w:w="705" w:type="dxa"/>
            <w:vAlign w:val="center"/>
          </w:tcPr>
          <w:p w14:paraId="4FB4EB44" w14:textId="1B8FAA54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jc w:val="center"/>
              <w:rPr>
                <w:rFonts w:ascii="仿宋" w:eastAsia="仿宋" w:hAnsi="仿宋" w:cs="宋体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0</w:t>
            </w:r>
            <w:r w:rsidR="004C555F">
              <w:rPr>
                <w:rFonts w:ascii="仿宋" w:eastAsia="仿宋" w:hAnsi="仿宋" w:cs="宋体"/>
                <w:sz w:val="24"/>
                <w:szCs w:val="24"/>
              </w:rPr>
              <w:t>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基于月度成果与未解决问题，制定下月迭代计划，明确任务优先级、拆解与验收标准；完成4期周报归档与月度材料提交。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 w14:textId="77777777" w:rsidR="00ED138D" w:rsidRDefault="00A625EB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 w14:textId="16D39D08" w:rsidR="00ED138D" w:rsidRDefault="00AF4426">
            <w:pPr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4</w:t>
            </w:r>
          </w:p>
        </w:tc>
      </w:tr>
      <w:tr w:rsidR="00ED138D" w14:paraId="2B2DE536" w14:textId="77777777">
        <w:tc>
          <w:tcPr>
            <w:tcW w:w="1838" w:type="dxa"/>
            <w:gridSpan w:val="2"/>
            <w:vAlign w:val="center"/>
          </w:tcPr>
          <w:p w14:paraId="7AC67FD6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ascii="仿宋" w:eastAsia="仿宋" w:hAnsi="仿宋" w:cs="宋体" w:hint="eastAsia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在智能体驱动的区块链语义预言机技术研究方面，本周完成如下内容：</w:t>
            </w:r>
          </w:p>
          <w:p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基于上周形成的实验记录表v1与参数建议文档，完成三框架（AutoGen、LangGraph、MetaGPT）综合对比分析，从任务成功率、执行耗时、稳定性及扩展性四个维度输出对比分析报告v1。</w:t>
            </w:r>
          </w:p>
          <w:p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整理实验过程中暴露的风险点与改进项，形成风险清单与改进建议文档，明确各框架在区块链语义预言机场景下的适用边界与优化方向。</w:t>
            </w:r>
          </w:p>
          <w:p>
            <w:pPr>
              <w:tabs>
                <w:tab w:val="left" w:pos="1154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完成月度总结报告撰写，汇总本月文献调研、环境搭建、对比实验全过程成果，提炼核心结论并给出下月迭代计划。</w:t>
            </w:r>
          </w:p>
        </w:tc>
      </w:tr>
      <w:tr w:rsidR="00ED138D" w14:paraId="225E4D43" w14:textId="77777777">
        <w:tc>
          <w:tcPr>
            <w:tcW w:w="1838" w:type="dxa"/>
            <w:gridSpan w:val="2"/>
            <w:vAlign w:val="center"/>
          </w:tcPr>
          <w:p w14:paraId="1ABF0E3A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eastAsia="仿宋" w:hAnsi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月任务达成进度：100 %，进度正常</w:t>
            </w:r>
          </w:p>
        </w:tc>
      </w:tr>
      <w:tr w:rsidR="00ED138D" w14:paraId="42483695" w14:textId="77777777">
        <w:trPr>
          <w:trHeight w:val="882"/>
        </w:trPr>
        <w:tc>
          <w:tcPr>
            <w:tcW w:w="1838" w:type="dxa"/>
            <w:gridSpan w:val="2"/>
            <w:vAlign w:val="center"/>
          </w:tcPr>
          <w:p w14:paraId="16C6B924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eastAsia="仿宋" w:hAnsi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60B95D96" w14:textId="77777777" w:rsidR="00ED138D" w:rsidRDefault="00A625EB">
            <w:pPr>
              <w:tabs>
                <w:tab w:val="left" w:pos="5387"/>
              </w:tabs>
              <w:snapToGrid w:val="0"/>
              <w:spacing w:beforeLines="30" w:before="93" w:line="324" w:lineRule="auto"/>
              <w:rPr>
                <w:rFonts w:ascii="仿宋" w:eastAsia="仿宋" w:hAnsi="仿宋" w:cs="仿宋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</w:rPr>
              <w:t>无</w:t>
            </w:r>
          </w:p>
        </w:tc>
      </w:tr>
    </w:tbl>
    <w:p w14:paraId="6762CBF7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ascii="宋体" w:hAnsi="宋体" w:hint="eastAsia"/>
          <w:b/>
          <w:bCs/>
          <w:sz w:val="36"/>
        </w:rPr>
        <w:t>填表说明</w:t>
      </w:r>
    </w:p>
    <w:p w14:paraId="5437BAC4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firstLineChars="202" w:firstLine="566"/>
        <w:jc w:val="left"/>
        <w:rPr>
          <w:rFonts w:ascii="仿宋" w:eastAsia="仿宋" w:hAnsi="仿宋" w:cs="宋体"/>
          <w:sz w:val="28"/>
          <w:szCs w:val="28"/>
        </w:rPr>
      </w:pPr>
      <w:r>
        <w:rPr>
          <w:rFonts w:ascii="仿宋" w:eastAsia="仿宋" w:hAnsi="仿宋" w:cs="宋体" w:hint="eastAsia"/>
          <w:sz w:val="28"/>
          <w:szCs w:val="28"/>
        </w:rPr>
        <w:t>1</w:t>
      </w:r>
      <w:r>
        <w:rPr>
          <w:rFonts w:ascii="仿宋" w:eastAsia="仿宋" w:hAnsi="仿宋" w:cs="宋体"/>
          <w:sz w:val="28"/>
          <w:szCs w:val="28"/>
        </w:rPr>
        <w:t>.</w:t>
      </w:r>
      <w:r>
        <w:rPr>
          <w:rFonts w:ascii="仿宋" w:eastAsia="仿宋" w:hAnsi="仿宋" w:cs="宋体" w:hint="eastAsia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firstLineChars="202" w:firstLine="566"/>
        <w:jc w:val="left"/>
        <w:rPr>
          <w:rFonts w:ascii="仿宋" w:eastAsia="仿宋" w:hAnsi="仿宋" w:cs="宋体"/>
          <w:sz w:val="28"/>
          <w:szCs w:val="28"/>
        </w:rPr>
      </w:pPr>
      <w:r>
        <w:rPr>
          <w:rFonts w:ascii="仿宋" w:eastAsia="仿宋" w:hAnsi="仿宋" w:cs="宋体" w:hint="eastAsia"/>
          <w:sz w:val="28"/>
          <w:szCs w:val="28"/>
        </w:rPr>
        <w:t>2</w:t>
      </w:r>
      <w:r>
        <w:rPr>
          <w:rFonts w:ascii="仿宋" w:eastAsia="仿宋" w:hAnsi="仿宋" w:cs="宋体"/>
          <w:sz w:val="28"/>
          <w:szCs w:val="28"/>
        </w:rPr>
        <w:t>.</w:t>
      </w:r>
      <w:r>
        <w:rPr>
          <w:rFonts w:ascii="仿宋" w:eastAsia="仿宋" w:hAnsi="仿宋" w:cs="宋体" w:hint="eastAsia"/>
          <w:sz w:val="28"/>
          <w:szCs w:val="28"/>
        </w:rPr>
        <w:t>周简报由任务负责人根据任务实际执行情况填写，于每周五晚</w:t>
      </w:r>
      <w:r>
        <w:rPr>
          <w:rFonts w:ascii="仿宋" w:eastAsia="仿宋" w:hAnsi="仿宋" w:cs="宋体"/>
          <w:sz w:val="28"/>
          <w:szCs w:val="28"/>
        </w:rPr>
        <w:t>21</w:t>
      </w:r>
      <w:r>
        <w:rPr>
          <w:rFonts w:ascii="仿宋" w:eastAsia="仿宋" w:hAnsi="仿宋" w:cs="宋体" w:hint="eastAsia"/>
          <w:sz w:val="28"/>
          <w:szCs w:val="28"/>
        </w:rPr>
        <w:t>点前发送至邮箱：</w:t>
      </w:r>
      <w:hyperlink r:id="rId7" w:history="1">
        <w:r>
          <w:rPr>
            <w:rStyle w:val="a8"/>
            <w:rFonts w:ascii="仿宋" w:eastAsia="仿宋" w:hAnsi="仿宋" w:cs="宋体" w:hint="eastAsia"/>
            <w:sz w:val="28"/>
            <w:szCs w:val="28"/>
          </w:rPr>
          <w:t>fengchunlai@buaa.edu.cn</w:t>
        </w:r>
      </w:hyperlink>
      <w:r>
        <w:rPr>
          <w:rFonts w:ascii="仿宋" w:eastAsia="仿宋" w:hAnsi="仿宋" w:cs="宋体" w:hint="eastAsia"/>
          <w:sz w:val="28"/>
          <w:szCs w:val="28"/>
        </w:rPr>
        <w:t xml:space="preserve"> ，邮件标题请注明“任务负责人-任务名称”。</w:t>
      </w:r>
    </w:p>
    <w:p w14:paraId="47DCF772" w14:textId="77777777" w:rsidR="00ED138D" w:rsidRDefault="00ED138D">
      <w:pPr>
        <w:tabs>
          <w:tab w:val="left" w:pos="5387"/>
        </w:tabs>
        <w:snapToGrid w:val="0"/>
        <w:spacing w:beforeLines="30" w:before="93" w:line="324" w:lineRule="auto"/>
        <w:ind w:leftChars="257" w:left="1167" w:hangingChars="224" w:hanging="627"/>
        <w:jc w:val="left"/>
        <w:rPr>
          <w:rFonts w:ascii="仿宋" w:eastAsia="仿宋" w:hAnsi="仿宋" w:cs="宋体"/>
          <w:sz w:val="28"/>
          <w:szCs w:val="28"/>
        </w:rPr>
      </w:pPr>
    </w:p>
    <w:p w14:paraId="030D9C2C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注1</w:t>
      </w:r>
      <w:r>
        <w:rPr>
          <w:rFonts w:ascii="仿宋" w:eastAsia="仿宋" w:hAnsi="仿宋" w:cs="宋体"/>
          <w:sz w:val="24"/>
          <w:szCs w:val="24"/>
        </w:rPr>
        <w:t>.</w:t>
      </w:r>
      <w:r>
        <w:rPr>
          <w:rFonts w:ascii="仿宋" w:eastAsia="仿宋" w:hAnsi="仿宋" w:cs="宋体" w:hint="eastAsia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注2</w:t>
      </w:r>
      <w:r>
        <w:rPr>
          <w:rFonts w:ascii="仿宋" w:eastAsia="仿宋" w:hAnsi="仿宋" w:cs="宋体"/>
          <w:sz w:val="24"/>
          <w:szCs w:val="24"/>
        </w:rPr>
        <w:t>.</w:t>
      </w:r>
      <w:r>
        <w:rPr>
          <w:rFonts w:ascii="仿宋" w:eastAsia="仿宋" w:hAnsi="仿宋" w:cs="宋体" w:hint="eastAsia"/>
          <w:sz w:val="24"/>
          <w:szCs w:val="24"/>
        </w:rPr>
        <w:t>本月任务分解：每月初将月度任务拆解成周工作计划和预期成果；</w:t>
      </w:r>
    </w:p>
    <w:p w14:paraId="220A7378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注3</w:t>
      </w:r>
      <w:r>
        <w:rPr>
          <w:rFonts w:ascii="仿宋" w:eastAsia="仿宋" w:hAnsi="仿宋" w:cs="宋体"/>
          <w:sz w:val="24"/>
          <w:szCs w:val="24"/>
        </w:rPr>
        <w:t>.</w:t>
      </w:r>
      <w:r>
        <w:rPr>
          <w:rFonts w:ascii="仿宋" w:eastAsia="仿宋" w:hAnsi="仿宋" w:cs="宋体" w:hint="eastAsia"/>
          <w:sz w:val="24"/>
          <w:szCs w:val="24"/>
        </w:rPr>
        <w:t>周计划达成度：指本周实际完成情况与本周工作计划的对比；</w:t>
      </w:r>
    </w:p>
    <w:p w14:paraId="05FC87C2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</w:t>
      </w:r>
      <w:r>
        <w:rPr>
          <w:rFonts w:ascii="仿宋" w:eastAsia="仿宋" w:hAnsi="仿宋" w:cs="宋体"/>
          <w:sz w:val="24"/>
          <w:szCs w:val="24"/>
        </w:rPr>
        <w:t>5.</w:t>
      </w:r>
      <w:r>
        <w:rPr>
          <w:rFonts w:ascii="仿宋" w:eastAsia="仿宋" w:hAnsi="仿宋" w:cs="宋体" w:hint="eastAsia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 w14:textId="77777777" w:rsidR="00ED138D" w:rsidRDefault="00A625EB">
      <w:pPr>
        <w:tabs>
          <w:tab w:val="left" w:pos="5387"/>
        </w:tabs>
        <w:snapToGrid w:val="0"/>
        <w:spacing w:beforeLines="30" w:before="93" w:line="324" w:lineRule="auto"/>
        <w:ind w:leftChars="257" w:left="1078" w:hangingChars="224" w:hanging="538"/>
        <w:jc w:val="left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注</w:t>
      </w:r>
      <w:r>
        <w:rPr>
          <w:rFonts w:ascii="仿宋" w:eastAsia="仿宋" w:hAnsi="仿宋" w:cs="宋体"/>
          <w:sz w:val="24"/>
          <w:szCs w:val="24"/>
        </w:rPr>
        <w:t>6.</w:t>
      </w:r>
      <w:r>
        <w:rPr>
          <w:rFonts w:ascii="仿宋" w:eastAsia="仿宋" w:hAnsi="仿宋" w:cs="宋体" w:hint="eastAsia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 w:rsidR="00ED13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E3990" w14:textId="77777777" w:rsidR="00E82AFE" w:rsidRDefault="00E82AFE">
      <w:r>
        <w:separator/>
      </w:r>
    </w:p>
  </w:endnote>
  <w:endnote w:type="continuationSeparator" w:id="0">
    <w:p w14:paraId="7F5FBB13" w14:textId="77777777" w:rsidR="00E82AFE" w:rsidRDefault="00E8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4AF06" w14:textId="77777777" w:rsidR="00ED138D" w:rsidRDefault="00ED138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38E4" w14:textId="77777777" w:rsidR="00ED138D" w:rsidRDefault="00ED138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7553B" w14:textId="77777777" w:rsidR="00ED138D" w:rsidRDefault="00ED13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7872" w14:textId="77777777" w:rsidR="00E82AFE" w:rsidRDefault="00E82AFE">
      <w:r>
        <w:separator/>
      </w:r>
    </w:p>
  </w:footnote>
  <w:footnote w:type="continuationSeparator" w:id="0">
    <w:p w14:paraId="2418E0A4" w14:textId="77777777" w:rsidR="00E82AFE" w:rsidRDefault="00E8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010D4" w14:textId="77777777" w:rsidR="00ED138D" w:rsidRDefault="00ED138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4A28A" w14:textId="77777777" w:rsidR="00ED138D" w:rsidRDefault="00ED138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BDB9" w14:textId="77777777" w:rsidR="00ED138D" w:rsidRDefault="00ED138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FED277"/>
    <w:multiLevelType w:val="singleLevel"/>
    <w:tmpl w:val="FEFED277"/>
    <w:lvl w:ilvl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Y0ODQ5ZGUyMDNlMDY4NDhjMjlkNzAzOThmNGYwYzEifQ=="/>
  </w:docVars>
  <w:rsids>
    <w:rsidRoot w:val="006F7341"/>
    <w:rsid w:val="E19A3170"/>
    <w:rsid w:val="FFFF2109"/>
    <w:rsid w:val="000A797A"/>
    <w:rsid w:val="000D6404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D138D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F0D1F"/>
  <w15:docId w15:val="{2AA48983-427C-3649-AF7E-69E18FB0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link w:val="a0"/>
    <w:autoRedefine/>
    <w:qFormat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qFormat/>
    <w:pPr>
      <w:jc w:val="left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0">
    <w:name w:val="page number"/>
    <w:aliases w:val="标题 2 字符"/>
    <w:basedOn w:val="a1"/>
    <w:link w:val="2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8">
    <w:name w:val="Hyperlink"/>
    <w:basedOn w:val="a1"/>
    <w:uiPriority w:val="99"/>
    <w:qFormat/>
    <w:rPr>
      <w:color w:val="0563C1"/>
      <w:u w:val="single"/>
    </w:rPr>
  </w:style>
  <w:style w:type="paragraph" w:customStyle="1" w:styleId="CharCharCharCharCharCharCharCharChar1CharCharCharCharCharCharChar">
    <w:name w:val="Char Char Char Char Char Char Char Char Char1 Char Char Char Char Char Char Char"/>
    <w:basedOn w:val="a"/>
    <w:qFormat/>
    <w:pPr>
      <w:spacing w:line="360" w:lineRule="auto"/>
      <w:ind w:firstLineChars="200" w:firstLine="200"/>
    </w:pPr>
  </w:style>
  <w:style w:type="character" w:customStyle="1" w:styleId="1">
    <w:name w:val="未处理的提及1"/>
    <w:basedOn w:val="a1"/>
    <w:uiPriority w:val="99"/>
    <w:qFormat/>
    <w:rPr>
      <w:color w:val="605E5C"/>
      <w:shd w:val="clear" w:color="auto" w:fill="E1DFDD"/>
    </w:rPr>
  </w:style>
  <w:style w:type="character" w:customStyle="1" w:styleId="20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unwenjin@buaa.edu.c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高精尖中心研究任务周简报</dc:title>
  <dc:creator>WL圣度</dc:creator>
  <cp:lastModifiedBy>Yijing Lin</cp:lastModifiedBy>
  <cp:revision>22</cp:revision>
  <cp:lastPrinted>2023-12-01T03:07:00Z</cp:lastPrinted>
  <dcterms:created xsi:type="dcterms:W3CDTF">2023-11-11T11:43:00Z</dcterms:created>
  <dcterms:modified xsi:type="dcterms:W3CDTF">2026-03-20T07:53:00Z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7F271E58E0163BAFB7A3B36945A03822_43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