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38722D0">
      <w:pPr>
        <w:spacing w:line="520" w:lineRule="exact"/>
        <w:jc w:val="center"/>
        <w:rPr>
          <w:rFonts w:ascii="宋体" w:hAnsi="宋体"/>
          <w:b/>
          <w:bCs/>
          <w:sz w:val="36"/>
        </w:rPr>
      </w:pPr>
      <w:r>
        <w:rPr>
          <w:rFonts w:hint="eastAsia" w:ascii="宋体" w:hAnsi="宋体"/>
          <w:b/>
          <w:bCs/>
          <w:sz w:val="36"/>
        </w:rPr>
        <w:t>未来区块链与隐私计算高精尖创新中心</w:t>
      </w:r>
    </w:p>
    <w:p w14:paraId="524F7E92">
      <w:pPr>
        <w:spacing w:line="520" w:lineRule="exact"/>
        <w:jc w:val="center"/>
        <w:rPr>
          <w:rFonts w:ascii="宋体" w:hAnsi="宋体"/>
          <w:b/>
          <w:bCs/>
          <w:sz w:val="36"/>
        </w:rPr>
      </w:pPr>
      <w:r>
        <w:rPr>
          <w:rFonts w:hint="eastAsia" w:ascii="宋体" w:hAnsi="宋体"/>
          <w:b/>
          <w:bCs/>
          <w:sz w:val="36"/>
        </w:rPr>
        <w:t>基础任务周简报</w:t>
      </w:r>
    </w:p>
    <w:p w14:paraId="4EB78E4A">
      <w:pPr>
        <w:tabs>
          <w:tab w:val="left" w:pos="5387"/>
        </w:tabs>
        <w:snapToGrid w:val="0"/>
        <w:spacing w:before="93" w:beforeLines="30" w:line="324" w:lineRule="auto"/>
        <w:rPr>
          <w:rFonts w:ascii="仿宋" w:hAnsi="仿宋" w:eastAsia="仿宋" w:cs="宋体"/>
          <w:sz w:val="10"/>
          <w:szCs w:val="10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5"/>
        <w:gridCol w:w="1133"/>
        <w:gridCol w:w="1080"/>
        <w:gridCol w:w="3678"/>
        <w:gridCol w:w="1196"/>
        <w:gridCol w:w="1944"/>
      </w:tblGrid>
      <w:tr w14:paraId="50419C4A">
        <w:tc>
          <w:tcPr>
            <w:tcW w:w="1838" w:type="dxa"/>
            <w:gridSpan w:val="2"/>
          </w:tcPr>
          <w:p w14:paraId="72DA9242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周报时段</w:t>
            </w:r>
          </w:p>
        </w:tc>
        <w:tc>
          <w:tcPr>
            <w:tcW w:w="7898" w:type="dxa"/>
            <w:gridSpan w:val="4"/>
            <w:vAlign w:val="center"/>
          </w:tcPr>
          <w:p w14:paraId="0D28670D">
            <w:r>
              <w:rPr>
                <w:rFonts w:ascii="仿宋" w:hAnsi="仿宋" w:eastAsia="仿宋"/>
                <w:sz w:val="24"/>
              </w:rPr>
              <w:t>2026年04月20日-2026年04月26日</w:t>
            </w:r>
          </w:p>
        </w:tc>
      </w:tr>
      <w:tr w14:paraId="5C698033">
        <w:tc>
          <w:tcPr>
            <w:tcW w:w="1838" w:type="dxa"/>
            <w:gridSpan w:val="2"/>
          </w:tcPr>
          <w:p w14:paraId="0015A472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任务名称</w:t>
            </w:r>
          </w:p>
        </w:tc>
        <w:tc>
          <w:tcPr>
            <w:tcW w:w="4758" w:type="dxa"/>
            <w:gridSpan w:val="2"/>
            <w:vAlign w:val="center"/>
          </w:tcPr>
          <w:p w14:paraId="5952498F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智能体驱动的区块链语义预言机技术研究</w:t>
            </w:r>
          </w:p>
        </w:tc>
        <w:tc>
          <w:tcPr>
            <w:tcW w:w="1196" w:type="dxa"/>
          </w:tcPr>
          <w:p w14:paraId="44DCC9DE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负责人</w:t>
            </w:r>
          </w:p>
        </w:tc>
        <w:tc>
          <w:tcPr>
            <w:tcW w:w="1944" w:type="dxa"/>
            <w:vAlign w:val="center"/>
          </w:tcPr>
          <w:p w14:paraId="653925BC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林怡静</w:t>
            </w:r>
          </w:p>
        </w:tc>
      </w:tr>
      <w:tr w14:paraId="12D63612">
        <w:trPr>
          <w:trHeight w:val="553" w:hRule="atLeast"/>
        </w:trPr>
        <w:tc>
          <w:tcPr>
            <w:tcW w:w="1838" w:type="dxa"/>
            <w:gridSpan w:val="2"/>
            <w:vMerge w:val="restart"/>
          </w:tcPr>
          <w:p w14:paraId="56681BBD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本月研究计划</w:t>
            </w:r>
            <w:r>
              <w:rPr>
                <w:rFonts w:hint="eastAsia" w:ascii="仿宋" w:hAnsi="仿宋" w:eastAsia="仿宋" w:cs="宋体"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7898" w:type="dxa"/>
            <w:gridSpan w:val="4"/>
            <w:vAlign w:val="center"/>
          </w:tcPr>
          <w:p w14:paraId="156B69C0">
            <w:r>
              <w:rPr>
                <w:rFonts w:ascii="仿宋" w:hAnsi="仿宋" w:eastAsia="仿宋" w:cs="仿宋"/>
                <w:sz w:val="24"/>
              </w:rPr>
              <w:t>本月任务：</w:t>
            </w:r>
          </w:p>
          <w:p w14:paraId="45A75FD2">
            <w:r>
              <w:rPr>
                <w:rFonts w:ascii="仿宋" w:hAnsi="仿宋" w:eastAsia="仿宋" w:cs="仿宋"/>
                <w:sz w:val="24"/>
              </w:rPr>
              <w:t>1) 系统调研区块链预言机场景下的真值发现算法（SenFeed、DecentTruth、TruthDiscovery、SenteTruth等），完成算法比选；</w:t>
            </w:r>
          </w:p>
          <w:p w14:paraId="1D50A2A4">
            <w:r>
              <w:rPr>
                <w:rFonts w:ascii="仿宋" w:hAnsi="仿宋" w:eastAsia="仿宋" w:cs="仿宋"/>
                <w:sz w:val="24"/>
              </w:rPr>
              <w:t>2) 设计基于Agent的真值发现模块架构，明确“多源数据采集→冲突检测→真值推断→置信度量化→链上写入”任务链路；</w:t>
            </w:r>
          </w:p>
          <w:p w14:paraId="127C2A11">
            <w:r>
              <w:rPr>
                <w:rFonts w:ascii="仿宋" w:hAnsi="仿宋" w:eastAsia="仿宋" w:cs="仿宋"/>
                <w:sz w:val="24"/>
              </w:rPr>
              <w:t>3) 基于AutoGen实现真值发现原型，集成至少2种真值推断算法并开展小规模验证；</w:t>
            </w:r>
          </w:p>
          <w:p w14:paraId="35F187A0">
            <w:r>
              <w:rPr>
                <w:rFonts w:ascii="仿宋" w:hAnsi="仿宋" w:eastAsia="仿宋" w:cs="仿宋"/>
                <w:sz w:val="24"/>
              </w:rPr>
              <w:t>4) 设计不确定性量化与可信度输出方案，形成月度阶段总结与下月迭代建议。</w:t>
            </w:r>
          </w:p>
        </w:tc>
      </w:tr>
      <w:tr w14:paraId="5FE56868">
        <w:trPr>
          <w:trHeight w:val="589" w:hRule="atLeast"/>
        </w:trPr>
        <w:tc>
          <w:tcPr>
            <w:tcW w:w="1838" w:type="dxa"/>
            <w:gridSpan w:val="2"/>
            <w:vMerge w:val="continue"/>
          </w:tcPr>
          <w:p w14:paraId="3EE4FE8C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</w:p>
        </w:tc>
        <w:tc>
          <w:tcPr>
            <w:tcW w:w="7898" w:type="dxa"/>
            <w:gridSpan w:val="4"/>
            <w:vAlign w:val="center"/>
          </w:tcPr>
          <w:p w14:paraId="7C0942B0">
            <w:r>
              <w:rPr>
                <w:rFonts w:ascii="仿宋" w:hAnsi="仿宋" w:eastAsia="仿宋" w:cs="仿宋"/>
                <w:sz w:val="24"/>
              </w:rPr>
              <w:t>本月成果指标：</w:t>
            </w:r>
          </w:p>
          <w:p w14:paraId="3619D0C3">
            <w:r>
              <w:rPr>
                <w:rFonts w:ascii="仿宋" w:hAnsi="仿宋" w:eastAsia="仿宋" w:cs="仿宋"/>
                <w:sz w:val="24"/>
              </w:rPr>
              <w:t>1)完成不少于4类候选算法的对比分析；</w:t>
            </w:r>
          </w:p>
          <w:p w14:paraId="5568FE67">
            <w:r>
              <w:rPr>
                <w:rFonts w:ascii="仿宋" w:hAnsi="仿宋" w:eastAsia="仿宋" w:cs="仿宋"/>
                <w:sz w:val="24"/>
              </w:rPr>
              <w:t>2)明确模块边界、输入输出规范与验收标准；</w:t>
            </w:r>
          </w:p>
          <w:p w14:paraId="49023D24">
            <w:r>
              <w:rPr>
                <w:rFonts w:ascii="仿宋" w:hAnsi="仿宋" w:eastAsia="仿宋" w:cs="仿宋"/>
                <w:sz w:val="24"/>
              </w:rPr>
              <w:t>3)完成1个基于AutoGen的原型实现，集成至少2种真值推断算法，形成不少于4组冲突场景实验记录；</w:t>
            </w:r>
          </w:p>
          <w:p w14:paraId="132BEC79">
            <w:r>
              <w:rPr>
                <w:rFonts w:ascii="仿宋" w:hAnsi="仿宋" w:eastAsia="仿宋" w:cs="仿宋"/>
                <w:sz w:val="24"/>
              </w:rPr>
              <w:t>4)完成4期周报。</w:t>
            </w:r>
          </w:p>
        </w:tc>
      </w:tr>
      <w:tr w14:paraId="1734FB0F">
        <w:tc>
          <w:tcPr>
            <w:tcW w:w="1838" w:type="dxa"/>
            <w:gridSpan w:val="2"/>
            <w:vMerge w:val="restart"/>
          </w:tcPr>
          <w:p w14:paraId="7EE34B3F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本月任务分解</w:t>
            </w:r>
            <w:r>
              <w:rPr>
                <w:rFonts w:hint="eastAsia" w:ascii="仿宋" w:hAnsi="仿宋" w:eastAsia="仿宋" w:cs="宋体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1080" w:type="dxa"/>
            <w:vAlign w:val="center"/>
          </w:tcPr>
          <w:p w14:paraId="70CABE8C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第1周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43E040B6">
            <w:pPr>
              <w:rPr>
                <w:rFonts w:hint="eastAsia"/>
              </w:rPr>
            </w:pPr>
            <w:r>
              <w:rPr>
                <w:rFonts w:ascii="仿宋" w:hAnsi="仿宋" w:eastAsia="仿宋" w:cs="仿宋"/>
                <w:sz w:val="24"/>
              </w:rPr>
              <w:t>真值发现算法调研与选型：系统调研SenFeed、DecentTruth、TruthDiscovery、SenteTruth等方案，梳理多源异构数据冲突检测与真值聚合机制；</w:t>
            </w:r>
          </w:p>
        </w:tc>
      </w:tr>
      <w:tr w14:paraId="302E9762">
        <w:tc>
          <w:tcPr>
            <w:tcW w:w="1838" w:type="dxa"/>
            <w:gridSpan w:val="2"/>
            <w:vMerge w:val="continue"/>
          </w:tcPr>
          <w:p w14:paraId="66901A95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4158ADD0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第2周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0E23755F">
            <w:pPr>
              <w:rPr>
                <w:rFonts w:hint="eastAsia"/>
              </w:rPr>
            </w:pPr>
            <w:r>
              <w:rPr>
                <w:rFonts w:ascii="仿宋" w:hAnsi="仿宋" w:eastAsia="仿宋" w:cs="仿宋"/>
                <w:sz w:val="24"/>
              </w:rPr>
              <w:t>真值发现模块架构设计：围绕“多源数据采集→冲突检测→真值推断→置信度量化→链上写入”设计Agent协作链路与接口规范；</w:t>
            </w:r>
          </w:p>
        </w:tc>
      </w:tr>
      <w:tr w14:paraId="2DA9A80E">
        <w:tc>
          <w:tcPr>
            <w:tcW w:w="1838" w:type="dxa"/>
            <w:gridSpan w:val="2"/>
            <w:vMerge w:val="continue"/>
          </w:tcPr>
          <w:p w14:paraId="067248A5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6959A4B3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第3周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506EFB31">
            <w:pPr>
              <w:rPr>
                <w:rFonts w:hint="eastAsia"/>
              </w:rPr>
            </w:pPr>
            <w:r>
              <w:rPr>
                <w:rFonts w:ascii="仿宋" w:hAnsi="仿宋" w:eastAsia="仿宋" w:cs="仿宋"/>
                <w:sz w:val="24"/>
              </w:rPr>
              <w:t>真值发现原型实现与初步验证：基于AutoGen实现原型，集成至少2种真值推断算法，构建模拟冲突场景开展实验；</w:t>
            </w:r>
          </w:p>
        </w:tc>
      </w:tr>
      <w:tr w14:paraId="16AE237A">
        <w:tc>
          <w:tcPr>
            <w:tcW w:w="1838" w:type="dxa"/>
            <w:gridSpan w:val="2"/>
            <w:vMerge w:val="continue"/>
          </w:tcPr>
          <w:p w14:paraId="60A0F754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1A3D2DFB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第4周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 w14:paraId="626A5A72">
            <w:pPr>
              <w:rPr>
                <w:rFonts w:hint="eastAsia"/>
              </w:rPr>
            </w:pPr>
            <w:r>
              <w:rPr>
                <w:rFonts w:ascii="仿宋" w:hAnsi="仿宋" w:eastAsia="仿宋" w:cs="仿宋"/>
                <w:sz w:val="24"/>
              </w:rPr>
              <w:t>不确定性量化与结果汇总：引入贝叶斯或置信区间方法设计可信度评分，汇总实验结果并形成月度总结；</w:t>
            </w:r>
          </w:p>
        </w:tc>
      </w:tr>
      <w:tr w14:paraId="4D23798A">
        <w:tc>
          <w:tcPr>
            <w:tcW w:w="6596" w:type="dxa"/>
            <w:gridSpan w:val="4"/>
            <w:tcBorders>
              <w:top w:val="single" w:color="auto" w:sz="12" w:space="0"/>
            </w:tcBorders>
            <w:vAlign w:val="center"/>
          </w:tcPr>
          <w:p w14:paraId="3193C2E8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本周任务完成情况</w:t>
            </w:r>
            <w:bookmarkStart w:id="0" w:name="_GoBack"/>
            <w:bookmarkEnd w:id="0"/>
          </w:p>
        </w:tc>
        <w:tc>
          <w:tcPr>
            <w:tcW w:w="3140" w:type="dxa"/>
            <w:gridSpan w:val="2"/>
            <w:tcBorders>
              <w:top w:val="single" w:color="auto" w:sz="12" w:space="0"/>
            </w:tcBorders>
            <w:vAlign w:val="center"/>
          </w:tcPr>
          <w:p w14:paraId="0CA911FB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t>周计划达成度3：100%</w:t>
            </w:r>
          </w:p>
        </w:tc>
      </w:tr>
      <w:tr w14:paraId="1B67E67B">
        <w:tc>
          <w:tcPr>
            <w:tcW w:w="705" w:type="dxa"/>
            <w:vAlign w:val="center"/>
          </w:tcPr>
          <w:p w14:paraId="64FA752D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5891" w:type="dxa"/>
            <w:gridSpan w:val="3"/>
            <w:vAlign w:val="center"/>
          </w:tcPr>
          <w:p w14:paraId="776E3B93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工作内容</w:t>
            </w:r>
          </w:p>
        </w:tc>
        <w:tc>
          <w:tcPr>
            <w:tcW w:w="1196" w:type="dxa"/>
            <w:vAlign w:val="center"/>
          </w:tcPr>
          <w:p w14:paraId="5AF07CBF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参加人员</w:t>
            </w:r>
          </w:p>
        </w:tc>
        <w:tc>
          <w:tcPr>
            <w:tcW w:w="1944" w:type="dxa"/>
            <w:vAlign w:val="center"/>
          </w:tcPr>
          <w:p w14:paraId="56EE9F73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投入时间</w:t>
            </w:r>
            <w:r>
              <w:rPr>
                <w:rFonts w:hint="eastAsia" w:ascii="仿宋" w:hAnsi="仿宋" w:eastAsia="仿宋" w:cs="宋体"/>
                <w:b/>
                <w:bCs/>
                <w:sz w:val="15"/>
                <w:szCs w:val="15"/>
              </w:rPr>
              <w:t>（人/天）</w:t>
            </w:r>
          </w:p>
        </w:tc>
      </w:tr>
      <w:tr w14:paraId="076AB4C1">
        <w:tc>
          <w:tcPr>
            <w:tcW w:w="705" w:type="dxa"/>
            <w:vAlign w:val="center"/>
          </w:tcPr>
          <w:p w14:paraId="7C01BF24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ascii="仿宋" w:hAnsi="仿宋"/>
                <w:sz w:val="24"/>
                <w:rFonts w:eastAsia="仿宋"/>
              </w:rPr>
              <w:t>01</w:t>
            </w:r>
          </w:p>
        </w:tc>
        <w:tc>
          <w:tcPr>
            <w:tcW w:w="5891" w:type="dxa"/>
            <w:gridSpan w:val="3"/>
            <w:shd w:val="clear" w:color="auto" w:fill="auto"/>
            <w:vAlign w:val="center"/>
          </w:tcPr>
          <w:p w14:paraId="664C0969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在加权投票与CRH原型基础上，引入贝叶斯后验估计与置信区间方法，完成不确定性量化模块的算法选型与接口设计。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54CFDC59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林怡静、华博文、冯晗桐、张文旭</w:t>
            </w:r>
          </w:p>
        </w:tc>
        <w:tc>
          <w:tcPr>
            <w:tcW w:w="1944" w:type="dxa"/>
            <w:shd w:val="clear" w:color="auto" w:fill="auto"/>
            <w:vAlign w:val="center"/>
          </w:tcPr>
          <w:p w14:paraId="45451CB2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4</w:t>
            </w:r>
          </w:p>
        </w:tc>
      </w:tr>
      <w:tr w14:paraId="26E3C9A0">
        <w:tc>
          <w:tcPr>
            <w:tcW w:w="705" w:type="dxa"/>
            <w:vAlign w:val="center"/>
          </w:tcPr>
          <w:p w14:paraId="23A50CA8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ascii="仿宋" w:hAnsi="仿宋"/>
                <w:sz w:val="24"/>
                <w:rFonts w:eastAsia="仿宋"/>
              </w:rPr>
              <w:t>02</w:t>
            </w:r>
          </w:p>
        </w:tc>
        <w:tc>
          <w:tcPr>
            <w:tcW w:w="5891" w:type="dxa"/>
            <w:gridSpan w:val="3"/>
            <w:shd w:val="clear" w:color="auto" w:fill="auto"/>
            <w:vAlign w:val="center"/>
          </w:tcPr>
          <w:p w14:paraId="297D4769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实现基于源可靠度先验与观测证据更新的可信度评分机制，完成与真值推断模块的级联集成与端到端链路联调。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65FBE633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林怡静、华博文、冯晗桐、张文旭</w:t>
            </w:r>
          </w:p>
        </w:tc>
        <w:tc>
          <w:tcPr>
            <w:tcW w:w="1944" w:type="dxa"/>
            <w:shd w:val="clear" w:color="auto" w:fill="auto"/>
            <w:vAlign w:val="center"/>
          </w:tcPr>
          <w:p w14:paraId="0BBB2E16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4</w:t>
            </w:r>
          </w:p>
        </w:tc>
      </w:tr>
      <w:tr w14:paraId="071F1D55">
        <w:tc>
          <w:tcPr>
            <w:tcW w:w="705" w:type="dxa"/>
            <w:vAlign w:val="center"/>
          </w:tcPr>
          <w:p w14:paraId="1F93F8D8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ascii="仿宋" w:hAnsi="仿宋"/>
                <w:sz w:val="24"/>
                <w:rFonts w:eastAsia="仿宋"/>
              </w:rPr>
              <w:t>03</w:t>
            </w:r>
          </w:p>
        </w:tc>
        <w:tc>
          <w:tcPr>
            <w:tcW w:w="5891" w:type="dxa"/>
            <w:gridSpan w:val="3"/>
            <w:shd w:val="clear" w:color="auto" w:fill="auto"/>
            <w:vAlign w:val="center"/>
          </w:tcPr>
          <w:p w14:paraId="62C60D84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在上周4组冲突场景数据集基础上扩展样本规模，系统对比加权投票、CRH与不确定性量化增强版在准确率、收敛性与鲁棒性上的表现。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3C5BFA96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林怡静、华博文、冯晗桐、张文旭</w:t>
            </w:r>
          </w:p>
        </w:tc>
        <w:tc>
          <w:tcPr>
            <w:tcW w:w="1944" w:type="dxa"/>
            <w:shd w:val="clear" w:color="auto" w:fill="auto"/>
            <w:vAlign w:val="center"/>
          </w:tcPr>
          <w:p w14:paraId="2FA925E2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4</w:t>
            </w:r>
          </w:p>
        </w:tc>
      </w:tr>
      <w:tr w14:paraId="062955A0">
        <w:tc>
          <w:tcPr>
            <w:tcW w:w="705" w:type="dxa"/>
            <w:vAlign w:val="center"/>
          </w:tcPr>
          <w:p w14:paraId="4FB4EB44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ascii="仿宋" w:hAnsi="仿宋"/>
                <w:sz w:val="24"/>
                <w:rFonts w:eastAsia="仿宋"/>
              </w:rPr>
              <w:t>04</w:t>
            </w:r>
          </w:p>
        </w:tc>
        <w:tc>
          <w:tcPr>
            <w:tcW w:w="5891" w:type="dxa"/>
            <w:gridSpan w:val="3"/>
            <w:shd w:val="clear" w:color="auto" w:fill="auto"/>
            <w:vAlign w:val="center"/>
          </w:tcPr>
          <w:p w14:paraId="6EF9EBC5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汇总四周实验结果形成月度阶段总结，梳理真值发现模块在预言机场景下的边界条件与失效模式，形成下月迭代建议。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5D33C0E0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林怡静、华博文、冯晗桐、张文旭</w:t>
            </w:r>
          </w:p>
        </w:tc>
        <w:tc>
          <w:tcPr>
            <w:tcW w:w="1944" w:type="dxa"/>
            <w:shd w:val="clear" w:color="auto" w:fill="auto"/>
            <w:vAlign w:val="center"/>
          </w:tcPr>
          <w:p w14:paraId="257B4C42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4</w:t>
            </w:r>
          </w:p>
        </w:tc>
      </w:tr>
      <w:tr w14:paraId="2B2DE536">
        <w:tc>
          <w:tcPr>
            <w:tcW w:w="1838" w:type="dxa"/>
            <w:gridSpan w:val="2"/>
            <w:vAlign w:val="center"/>
          </w:tcPr>
          <w:p w14:paraId="7AC67FD6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  <w:highlight w:val="yellow"/>
              </w:rPr>
              <w:t>本周取得成果</w:t>
            </w:r>
            <w:r>
              <w:rPr>
                <w:rFonts w:hint="eastAsia" w:ascii="仿宋" w:hAnsi="仿宋" w:eastAsia="仿宋" w:cs="宋体"/>
                <w:sz w:val="24"/>
                <w:szCs w:val="24"/>
                <w:vertAlign w:val="superscript"/>
              </w:rPr>
              <w:t>4</w:t>
            </w:r>
          </w:p>
        </w:tc>
        <w:tc>
          <w:tcPr>
            <w:tcW w:w="7898" w:type="dxa"/>
            <w:gridSpan w:val="4"/>
            <w:vAlign w:val="center"/>
          </w:tcPr>
          <w:p w14:paraId="2DC31EA7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在智能体驱动的区块链语义预言机技术研究方面，本周完成如下内容：</w:t>
            </w:r>
          </w:p>
          <w:p w14:paraId="2DC31EA7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完成不确定性量化模块的算法选型与接口设计，引入贝叶斯后验估计与置信区间方法，形成与加权投票、CRH推断模块级联的可信度评分机制。</w:t>
            </w:r>
          </w:p>
          <w:p w14:paraId="2DC31EA7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完成原型系统端到端链路联调，扩展模拟冲突场景样本规模，系统对比两类真值推断算法在不确定性量化前后的准确率、收敛性与鲁棒性表现。</w:t>
            </w:r>
          </w:p>
          <w:p w14:paraId="2DC31EA7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汇总四周实验结果形成月度阶段总结，梳理真值发现模块在预言机场景下的边界条件与典型失效模式，输出下月迭代建议，支撑后续链上写入与语义对齐模块的衔接设计。</w:t>
            </w:r>
          </w:p>
        </w:tc>
      </w:tr>
      <w:tr w14:paraId="225E4D43">
        <w:tc>
          <w:tcPr>
            <w:tcW w:w="1838" w:type="dxa"/>
            <w:gridSpan w:val="2"/>
            <w:vAlign w:val="center"/>
          </w:tcPr>
          <w:p w14:paraId="1ABF0E3A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月计划总体进展</w:t>
            </w:r>
            <w:r>
              <w:rPr>
                <w:rFonts w:ascii="仿宋" w:hAnsi="仿宋" w:eastAsia="仿宋" w:cs="宋体"/>
                <w:sz w:val="24"/>
                <w:szCs w:val="24"/>
                <w:vertAlign w:val="superscript"/>
              </w:rPr>
              <w:t>5</w:t>
            </w:r>
          </w:p>
        </w:tc>
        <w:tc>
          <w:tcPr>
            <w:tcW w:w="7898" w:type="dxa"/>
            <w:gridSpan w:val="4"/>
            <w:vAlign w:val="center"/>
          </w:tcPr>
          <w:p w14:paraId="3B28A4A4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/>
                <w:sz w:val="24"/>
              </w:rPr>
              <w:t>月任务达成进度：100 %，进度正常</w:t>
            </w:r>
          </w:p>
        </w:tc>
      </w:tr>
      <w:tr w14:paraId="42483695">
        <w:trPr>
          <w:trHeight w:val="882" w:hRule="atLeast"/>
        </w:trPr>
        <w:tc>
          <w:tcPr>
            <w:tcW w:w="1838" w:type="dxa"/>
            <w:gridSpan w:val="2"/>
            <w:vAlign w:val="center"/>
          </w:tcPr>
          <w:p w14:paraId="16C6B924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存在问题及调整方案</w:t>
            </w:r>
            <w:r>
              <w:rPr>
                <w:rFonts w:ascii="仿宋" w:hAnsi="仿宋" w:eastAsia="仿宋" w:cs="宋体"/>
                <w:sz w:val="24"/>
                <w:szCs w:val="24"/>
                <w:vertAlign w:val="superscript"/>
              </w:rPr>
              <w:t>6</w:t>
            </w:r>
          </w:p>
        </w:tc>
        <w:tc>
          <w:tcPr>
            <w:tcW w:w="7898" w:type="dxa"/>
            <w:gridSpan w:val="4"/>
            <w:vAlign w:val="center"/>
          </w:tcPr>
          <w:p w14:paraId="39854C1F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无</w:t>
            </w:r>
          </w:p>
        </w:tc>
      </w:tr>
    </w:tbl>
    <w:p w14:paraId="6762CBF7">
      <w:pPr>
        <w:tabs>
          <w:tab w:val="left" w:pos="5387"/>
        </w:tabs>
        <w:snapToGrid w:val="0"/>
        <w:spacing w:before="93" w:beforeLines="30" w:line="324" w:lineRule="auto"/>
        <w:jc w:val="center"/>
        <w:rPr>
          <w:rFonts w:ascii="宋体" w:hAnsi="宋体"/>
          <w:b/>
          <w:bCs/>
          <w:sz w:val="36"/>
        </w:rPr>
      </w:pPr>
      <w:r>
        <w:rPr>
          <w:rFonts w:hint="eastAsia" w:ascii="宋体" w:hAnsi="宋体"/>
          <w:b/>
          <w:bCs/>
          <w:sz w:val="36"/>
        </w:rPr>
        <w:t>填表说明</w:t>
      </w:r>
    </w:p>
    <w:p w14:paraId="5437BAC4">
      <w:pPr>
        <w:tabs>
          <w:tab w:val="left" w:pos="5387"/>
        </w:tabs>
        <w:snapToGrid w:val="0"/>
        <w:spacing w:before="93" w:beforeLines="30" w:line="324" w:lineRule="auto"/>
        <w:ind w:firstLine="565" w:firstLineChars="202"/>
        <w:jc w:val="left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1</w:t>
      </w:r>
      <w:r>
        <w:rPr>
          <w:rFonts w:ascii="仿宋" w:hAnsi="仿宋" w:eastAsia="仿宋" w:cs="宋体"/>
          <w:sz w:val="28"/>
          <w:szCs w:val="28"/>
        </w:rPr>
        <w:t>.</w:t>
      </w:r>
      <w:r>
        <w:rPr>
          <w:rFonts w:hint="eastAsia" w:ascii="仿宋" w:hAnsi="仿宋" w:eastAsia="仿宋" w:cs="宋体"/>
          <w:sz w:val="28"/>
          <w:szCs w:val="28"/>
        </w:rPr>
        <w:t>根据《未来区块链与隐私计算高精尖创新中心研究任务管理办法》，周简报是高精尖中心跟进任务实施进度、保证计划目标达成、促进团队交流协作的重要过程管理工具;</w:t>
      </w:r>
    </w:p>
    <w:p w14:paraId="7904CA97">
      <w:pPr>
        <w:tabs>
          <w:tab w:val="left" w:pos="5387"/>
        </w:tabs>
        <w:snapToGrid w:val="0"/>
        <w:spacing w:before="93" w:beforeLines="30" w:line="324" w:lineRule="auto"/>
        <w:ind w:firstLine="565" w:firstLineChars="202"/>
        <w:jc w:val="left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2</w:t>
      </w:r>
      <w:r>
        <w:rPr>
          <w:rFonts w:ascii="仿宋" w:hAnsi="仿宋" w:eastAsia="仿宋" w:cs="宋体"/>
          <w:sz w:val="28"/>
          <w:szCs w:val="28"/>
        </w:rPr>
        <w:t>.</w:t>
      </w:r>
      <w:r>
        <w:rPr>
          <w:rFonts w:hint="eastAsia" w:ascii="仿宋" w:hAnsi="仿宋" w:eastAsia="仿宋" w:cs="宋体"/>
          <w:sz w:val="28"/>
          <w:szCs w:val="28"/>
        </w:rPr>
        <w:t>周简报由任务负责人根据任务实际执行情况填写，于每周五晚</w:t>
      </w:r>
      <w:r>
        <w:rPr>
          <w:rFonts w:ascii="仿宋" w:hAnsi="仿宋" w:eastAsia="仿宋" w:cs="宋体"/>
          <w:sz w:val="28"/>
          <w:szCs w:val="28"/>
        </w:rPr>
        <w:t>21</w:t>
      </w:r>
      <w:r>
        <w:rPr>
          <w:rFonts w:hint="eastAsia" w:ascii="仿宋" w:hAnsi="仿宋" w:eastAsia="仿宋" w:cs="宋体"/>
          <w:sz w:val="28"/>
          <w:szCs w:val="28"/>
        </w:rPr>
        <w:t>点前发送至邮箱：</w:t>
      </w:r>
      <w:r>
        <w:fldChar w:fldCharType="begin"/>
      </w:r>
      <w:r>
        <w:instrText xml:space="preserve"> HYPERLINK "mailto:sunwenjin@buaa.edu.cn" </w:instrText>
      </w:r>
      <w:r>
        <w:fldChar w:fldCharType="separate"/>
      </w:r>
      <w:r>
        <w:rPr>
          <w:rStyle w:val="10"/>
          <w:rFonts w:hint="eastAsia" w:ascii="仿宋" w:hAnsi="仿宋" w:eastAsia="仿宋" w:cs="宋体"/>
          <w:sz w:val="28"/>
          <w:szCs w:val="28"/>
        </w:rPr>
        <w:t>fengchunlai@buaa.edu.cn</w:t>
      </w:r>
      <w:r>
        <w:rPr>
          <w:rStyle w:val="10"/>
          <w:rFonts w:hint="eastAsia" w:ascii="仿宋" w:hAnsi="仿宋" w:eastAsia="仿宋" w:cs="宋体"/>
          <w:sz w:val="28"/>
          <w:szCs w:val="28"/>
        </w:rPr>
        <w:fldChar w:fldCharType="end"/>
      </w:r>
      <w:r>
        <w:rPr>
          <w:rFonts w:hint="eastAsia" w:ascii="仿宋" w:hAnsi="仿宋" w:eastAsia="仿宋" w:cs="宋体"/>
          <w:sz w:val="28"/>
          <w:szCs w:val="28"/>
        </w:rPr>
        <w:t xml:space="preserve"> ，邮件标题请注明“任务负责人-任务名称”。</w:t>
      </w:r>
    </w:p>
    <w:p w14:paraId="47DCF772">
      <w:pPr>
        <w:tabs>
          <w:tab w:val="left" w:pos="5387"/>
        </w:tabs>
        <w:snapToGrid w:val="0"/>
        <w:spacing w:before="93" w:beforeLines="30" w:line="324" w:lineRule="auto"/>
        <w:ind w:left="1167" w:leftChars="257" w:hanging="627" w:hangingChars="224"/>
        <w:jc w:val="left"/>
        <w:rPr>
          <w:rFonts w:ascii="仿宋" w:hAnsi="仿宋" w:eastAsia="仿宋" w:cs="宋体"/>
          <w:sz w:val="28"/>
          <w:szCs w:val="28"/>
        </w:rPr>
      </w:pPr>
    </w:p>
    <w:p w14:paraId="030D9C2C">
      <w:pPr>
        <w:tabs>
          <w:tab w:val="left" w:pos="5387"/>
        </w:tabs>
        <w:snapToGrid w:val="0"/>
        <w:spacing w:before="93" w:beforeLines="30" w:line="324" w:lineRule="auto"/>
        <w:ind w:left="1077" w:leftChars="257" w:hanging="537" w:hangingChars="224"/>
        <w:jc w:val="left"/>
        <w:rPr>
          <w:rFonts w:ascii="仿宋" w:hAnsi="仿宋" w:eastAsia="仿宋" w:cs="宋体"/>
          <w:sz w:val="24"/>
          <w:szCs w:val="24"/>
        </w:rPr>
      </w:pPr>
      <w:r>
        <w:rPr>
          <w:rFonts w:hint="eastAsia" w:ascii="仿宋" w:hAnsi="仿宋" w:eastAsia="仿宋" w:cs="宋体"/>
          <w:sz w:val="24"/>
          <w:szCs w:val="24"/>
        </w:rPr>
        <w:t>注1</w:t>
      </w:r>
      <w:r>
        <w:rPr>
          <w:rFonts w:ascii="仿宋" w:hAnsi="仿宋" w:eastAsia="仿宋" w:cs="宋体"/>
          <w:sz w:val="24"/>
          <w:szCs w:val="24"/>
        </w:rPr>
        <w:t>.</w:t>
      </w:r>
      <w:r>
        <w:rPr>
          <w:rFonts w:hint="eastAsia" w:ascii="仿宋" w:hAnsi="仿宋" w:eastAsia="仿宋" w:cs="宋体"/>
          <w:sz w:val="24"/>
          <w:szCs w:val="24"/>
        </w:rPr>
        <w:t>本月研究计划：每月初更新，参照任务书“研究进度安排”填写本月主要任务、成果及其指标、预算执行进度；</w:t>
      </w:r>
    </w:p>
    <w:p w14:paraId="3C2CE999">
      <w:pPr>
        <w:tabs>
          <w:tab w:val="left" w:pos="5387"/>
        </w:tabs>
        <w:snapToGrid w:val="0"/>
        <w:spacing w:before="93" w:beforeLines="30" w:line="324" w:lineRule="auto"/>
        <w:ind w:left="1077" w:leftChars="257" w:hanging="537" w:hangingChars="224"/>
        <w:jc w:val="left"/>
        <w:rPr>
          <w:rFonts w:ascii="仿宋" w:hAnsi="仿宋" w:eastAsia="仿宋" w:cs="宋体"/>
          <w:sz w:val="24"/>
          <w:szCs w:val="24"/>
        </w:rPr>
      </w:pPr>
      <w:r>
        <w:rPr>
          <w:rFonts w:hint="eastAsia" w:ascii="仿宋" w:hAnsi="仿宋" w:eastAsia="仿宋" w:cs="宋体"/>
          <w:sz w:val="24"/>
          <w:szCs w:val="24"/>
        </w:rPr>
        <w:t>注2</w:t>
      </w:r>
      <w:r>
        <w:rPr>
          <w:rFonts w:ascii="仿宋" w:hAnsi="仿宋" w:eastAsia="仿宋" w:cs="宋体"/>
          <w:sz w:val="24"/>
          <w:szCs w:val="24"/>
        </w:rPr>
        <w:t>.</w:t>
      </w:r>
      <w:r>
        <w:rPr>
          <w:rFonts w:hint="eastAsia" w:ascii="仿宋" w:hAnsi="仿宋" w:eastAsia="仿宋" w:cs="宋体"/>
          <w:sz w:val="24"/>
          <w:szCs w:val="24"/>
        </w:rPr>
        <w:t>本月任务分解：每月初将月度任务拆解成周工作计划和预期成果；</w:t>
      </w:r>
    </w:p>
    <w:p w14:paraId="220A7378">
      <w:pPr>
        <w:tabs>
          <w:tab w:val="left" w:pos="5387"/>
        </w:tabs>
        <w:snapToGrid w:val="0"/>
        <w:spacing w:before="93" w:beforeLines="30" w:line="324" w:lineRule="auto"/>
        <w:ind w:left="1077" w:leftChars="257" w:hanging="537" w:hangingChars="224"/>
        <w:jc w:val="left"/>
        <w:rPr>
          <w:rFonts w:ascii="仿宋" w:hAnsi="仿宋" w:eastAsia="仿宋" w:cs="宋体"/>
          <w:sz w:val="24"/>
          <w:szCs w:val="24"/>
        </w:rPr>
      </w:pPr>
      <w:r>
        <w:rPr>
          <w:rFonts w:hint="eastAsia" w:ascii="仿宋" w:hAnsi="仿宋" w:eastAsia="仿宋" w:cs="宋体"/>
          <w:sz w:val="24"/>
          <w:szCs w:val="24"/>
        </w:rPr>
        <w:t>注3</w:t>
      </w:r>
      <w:r>
        <w:rPr>
          <w:rFonts w:ascii="仿宋" w:hAnsi="仿宋" w:eastAsia="仿宋" w:cs="宋体"/>
          <w:sz w:val="24"/>
          <w:szCs w:val="24"/>
        </w:rPr>
        <w:t>.</w:t>
      </w:r>
      <w:r>
        <w:rPr>
          <w:rFonts w:hint="eastAsia" w:ascii="仿宋" w:hAnsi="仿宋" w:eastAsia="仿宋" w:cs="宋体"/>
          <w:sz w:val="24"/>
          <w:szCs w:val="24"/>
        </w:rPr>
        <w:t>周计划达成度：指本周实际完成情况与本周工作计划的对比；</w:t>
      </w:r>
    </w:p>
    <w:p w14:paraId="05FC87C2">
      <w:pPr>
        <w:tabs>
          <w:tab w:val="left" w:pos="5387"/>
        </w:tabs>
        <w:snapToGrid w:val="0"/>
        <w:spacing w:before="93" w:beforeLines="30" w:line="324" w:lineRule="auto"/>
        <w:ind w:left="1077" w:leftChars="257" w:hanging="537" w:hangingChars="224"/>
        <w:jc w:val="left"/>
        <w:rPr>
          <w:rFonts w:ascii="仿宋" w:hAnsi="仿宋" w:eastAsia="仿宋" w:cs="宋体"/>
          <w:sz w:val="24"/>
          <w:szCs w:val="24"/>
        </w:rPr>
      </w:pPr>
      <w:r>
        <w:rPr>
          <w:rFonts w:hint="eastAsia" w:ascii="仿宋" w:hAnsi="仿宋" w:eastAsia="仿宋" w:cs="宋体"/>
          <w:sz w:val="24"/>
          <w:szCs w:val="24"/>
        </w:rPr>
        <w:t>注4.本周取得成果：请任务组根据中心三大任务方向填写相关内容（区块链方向、隐私计算方向、可信智能方向）；</w:t>
      </w:r>
    </w:p>
    <w:p w14:paraId="43F0C3B1">
      <w:pPr>
        <w:tabs>
          <w:tab w:val="left" w:pos="5387"/>
        </w:tabs>
        <w:snapToGrid w:val="0"/>
        <w:spacing w:before="93" w:beforeLines="30" w:line="324" w:lineRule="auto"/>
        <w:ind w:left="1077" w:leftChars="257" w:hanging="537" w:hangingChars="224"/>
        <w:jc w:val="left"/>
        <w:rPr>
          <w:rFonts w:ascii="仿宋" w:hAnsi="仿宋" w:eastAsia="仿宋" w:cs="宋体"/>
          <w:sz w:val="24"/>
          <w:szCs w:val="24"/>
        </w:rPr>
      </w:pPr>
      <w:r>
        <w:rPr>
          <w:rFonts w:hint="eastAsia" w:ascii="仿宋" w:hAnsi="仿宋" w:eastAsia="仿宋" w:cs="宋体"/>
          <w:sz w:val="24"/>
          <w:szCs w:val="24"/>
        </w:rPr>
        <w:t>注</w:t>
      </w:r>
      <w:r>
        <w:rPr>
          <w:rFonts w:ascii="仿宋" w:hAnsi="仿宋" w:eastAsia="仿宋" w:cs="宋体"/>
          <w:sz w:val="24"/>
          <w:szCs w:val="24"/>
        </w:rPr>
        <w:t>5.</w:t>
      </w:r>
      <w:r>
        <w:rPr>
          <w:rFonts w:hint="eastAsia" w:ascii="仿宋" w:hAnsi="仿宋" w:eastAsia="仿宋" w:cs="宋体"/>
          <w:sz w:val="24"/>
          <w:szCs w:val="24"/>
        </w:rPr>
        <w:t>月计划总体进展状态：与本月研究计划中所列指标对比，按实际情况体现月任务达成进度和预算执行率；</w:t>
      </w:r>
    </w:p>
    <w:p w14:paraId="06902935">
      <w:pPr>
        <w:tabs>
          <w:tab w:val="left" w:pos="5387"/>
        </w:tabs>
        <w:snapToGrid w:val="0"/>
        <w:spacing w:before="93" w:beforeLines="30" w:line="324" w:lineRule="auto"/>
        <w:ind w:left="1077" w:leftChars="257" w:hanging="537" w:hangingChars="224"/>
        <w:jc w:val="left"/>
        <w:rPr>
          <w:rFonts w:ascii="仿宋" w:hAnsi="仿宋" w:eastAsia="仿宋" w:cs="宋体"/>
          <w:sz w:val="24"/>
          <w:szCs w:val="24"/>
        </w:rPr>
      </w:pPr>
      <w:r>
        <w:rPr>
          <w:rFonts w:hint="eastAsia" w:ascii="仿宋" w:hAnsi="仿宋" w:eastAsia="仿宋" w:cs="宋体"/>
          <w:sz w:val="24"/>
          <w:szCs w:val="24"/>
        </w:rPr>
        <w:t>注</w:t>
      </w:r>
      <w:r>
        <w:rPr>
          <w:rFonts w:ascii="仿宋" w:hAnsi="仿宋" w:eastAsia="仿宋" w:cs="宋体"/>
          <w:sz w:val="24"/>
          <w:szCs w:val="24"/>
        </w:rPr>
        <w:t>6.</w:t>
      </w:r>
      <w:r>
        <w:rPr>
          <w:rFonts w:hint="eastAsia" w:ascii="仿宋" w:hAnsi="仿宋" w:eastAsia="仿宋" w:cs="宋体"/>
          <w:sz w:val="24"/>
          <w:szCs w:val="24"/>
        </w:rPr>
        <w:t>存在问题及调整方案：可提出任务执行过程的问题和需求。如本周计划达成度及月任务达成度进度滞后，需提出解决或调整方案。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2538E4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D4AF06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87553B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04A28A"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2010D4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2CBDB9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Y0ODQ5ZGUyMDNlMDY4NDhjMjlkNzAzOThmNGYwYzEifQ=="/>
  </w:docVars>
  <w:rsids>
    <w:rsidRoot w:val="006F7341"/>
    <w:rsid w:val="000A0540"/>
    <w:rsid w:val="000A797A"/>
    <w:rsid w:val="000D6404"/>
    <w:rsid w:val="001E10D0"/>
    <w:rsid w:val="0026274C"/>
    <w:rsid w:val="002A2CA9"/>
    <w:rsid w:val="00320209"/>
    <w:rsid w:val="004C555F"/>
    <w:rsid w:val="00676392"/>
    <w:rsid w:val="006F7341"/>
    <w:rsid w:val="0079045B"/>
    <w:rsid w:val="00880150"/>
    <w:rsid w:val="008E1B0C"/>
    <w:rsid w:val="009D33AD"/>
    <w:rsid w:val="00A625EB"/>
    <w:rsid w:val="00AE2711"/>
    <w:rsid w:val="00AF4426"/>
    <w:rsid w:val="00BD0DE7"/>
    <w:rsid w:val="00CA613C"/>
    <w:rsid w:val="00D61436"/>
    <w:rsid w:val="00DE408E"/>
    <w:rsid w:val="00E82AFE"/>
    <w:rsid w:val="00EA1170"/>
    <w:rsid w:val="00ED138D"/>
    <w:rsid w:val="00EE3E3E"/>
    <w:rsid w:val="00F42183"/>
    <w:rsid w:val="02443CCC"/>
    <w:rsid w:val="150B76A1"/>
    <w:rsid w:val="1F550A14"/>
    <w:rsid w:val="23A81914"/>
    <w:rsid w:val="24315017"/>
    <w:rsid w:val="267372D5"/>
    <w:rsid w:val="2B0068A8"/>
    <w:rsid w:val="2F3F0791"/>
    <w:rsid w:val="342B6FCD"/>
    <w:rsid w:val="3622753F"/>
    <w:rsid w:val="39316051"/>
    <w:rsid w:val="3C887FDB"/>
    <w:rsid w:val="3E2462C6"/>
    <w:rsid w:val="3FB740D4"/>
    <w:rsid w:val="409C21DF"/>
    <w:rsid w:val="4403001B"/>
    <w:rsid w:val="450A0F8A"/>
    <w:rsid w:val="52E4477B"/>
    <w:rsid w:val="5A144EA7"/>
    <w:rsid w:val="5C1B42CB"/>
    <w:rsid w:val="5F57386C"/>
    <w:rsid w:val="68920396"/>
    <w:rsid w:val="69416B66"/>
    <w:rsid w:val="73EB05CF"/>
    <w:rsid w:val="76347D81"/>
    <w:rsid w:val="77FF12B2"/>
    <w:rsid w:val="7D5F07C4"/>
    <w:rsid w:val="E19A3170"/>
    <w:rsid w:val="ED7B87B2"/>
    <w:rsid w:val="FF47603B"/>
    <w:rsid w:val="FFBE2A15"/>
    <w:rsid w:val="FFFF2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link w:val="9"/>
    <w:autoRedefine/>
    <w:qFormat/>
    <w:uiPriority w:val="0"/>
    <w:pPr>
      <w:keepNext/>
      <w:keepLines/>
      <w:spacing w:before="260" w:after="260" w:line="413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page number"/>
    <w:basedOn w:val="8"/>
    <w:link w:val="2"/>
    <w:qFormat/>
    <w:uiPriority w:val="0"/>
    <w:rPr>
      <w:rFonts w:ascii="Cambria" w:hAnsi="Cambria" w:eastAsia="宋体" w:cs="Times New Roman"/>
      <w:b/>
      <w:bCs/>
      <w:kern w:val="2"/>
      <w:sz w:val="32"/>
      <w:szCs w:val="32"/>
    </w:rPr>
  </w:style>
  <w:style w:type="character" w:styleId="10">
    <w:name w:val="Hyperlink"/>
    <w:basedOn w:val="8"/>
    <w:qFormat/>
    <w:uiPriority w:val="99"/>
    <w:rPr>
      <w:color w:val="0563C1"/>
      <w:u w:val="single"/>
    </w:rPr>
  </w:style>
  <w:style w:type="paragraph" w:customStyle="1" w:styleId="11">
    <w:name w:val="Char Char Char Char Char Char Char Char Char1 Char Char Char Char Char Char Char"/>
    <w:basedOn w:val="1"/>
    <w:qFormat/>
    <w:uiPriority w:val="0"/>
    <w:pPr>
      <w:spacing w:line="360" w:lineRule="auto"/>
      <w:ind w:firstLine="200" w:firstLineChars="200"/>
    </w:pPr>
  </w:style>
  <w:style w:type="character" w:customStyle="1" w:styleId="12">
    <w:name w:val="未处理的提及1"/>
    <w:basedOn w:val="8"/>
    <w:qFormat/>
    <w:uiPriority w:val="99"/>
    <w:rPr>
      <w:color w:val="605E5C"/>
      <w:shd w:val="clear" w:color="auto" w:fill="E1DFDD"/>
    </w:rPr>
  </w:style>
  <w:style w:type="character" w:customStyle="1" w:styleId="13">
    <w:name w:val="未处理的提及2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4">
    <w:name w:val="List Paragraph"/>
    <w:basedOn w:val="1"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289</Words>
  <Characters>1651</Characters>
  <Lines>13</Lines>
  <Paragraphs>3</Paragraphs>
  <TotalTime>15</TotalTime>
  <ScaleCrop>false</ScaleCrop>
  <LinksUpToDate>false</LinksUpToDate>
  <CharactersWithSpaces>1937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2023-11-12T11:43:00Z</dcterms:created>
  <dc:creator>WL圣度</dc:creator>
  <cp:lastModifiedBy>WPS_hh0424</cp:lastModifiedBy>
  <cp:lastPrinted>2023-12-02T03:07:00Z</cp:lastPrinted>
  <dcterms:modified xsi:type="dcterms:W3CDTF">2026-04-10T14:27:50Z</dcterms:modified>
  <dc:title>高精尖中心研究任务周简报</dc:title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CWM5ca60bb3918b41acad0380717bc78ea0">
    <vt:lpwstr>CWMp5A/lAdddt+JH8RAOvqX6N6gnVCb7JXRRO9zYgQHWeWdtR1v67YrzdWtW9gfp44Hst2csxAAiKKYeULN76mjpw==</vt:lpwstr>
  </property>
  <property fmtid="{D5CDD505-2E9C-101B-9397-08002B2CF9AE}" pid="4" name="ICV">
    <vt:lpwstr>1C9F785880B37E56ACCED4692A4DE11A_43</vt:lpwstr>
  </property>
  <property fmtid="{D5CDD505-2E9C-101B-9397-08002B2CF9AE}" pid="5" name="KSOTemplateDocerSaveRecord">
    <vt:lpwstr>eyJoZGlkIjoiMzY0OGMxNmEzYTQ3ZjQxYjcwYWQzNmZjYzBmMmNiMzAiLCJ1c2VySWQiOiIxNTcyMTY0ODEzIn0=</vt:lpwstr>
  </property>
</Properties>
</file>