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38722D0">
      <w:pPr>
        <w:spacing w:line="520" w:lineRule="exact"/>
        <w:jc w:val="center"/>
        <w:rPr>
          <w:rFonts w:ascii="宋体" w:hAnsi="宋体"/>
          <w:b/>
          <w:bCs/>
          <w:sz w:val="36"/>
        </w:rPr>
      </w:pPr>
      <w:r>
        <w:rPr>
          <w:rFonts w:hint="eastAsia" w:ascii="宋体" w:hAnsi="宋体"/>
          <w:b/>
          <w:bCs/>
          <w:sz w:val="36"/>
        </w:rPr>
        <w:t>未来区块链与隐私计算高精尖创新中心</w:t>
      </w:r>
    </w:p>
    <w:p w14:paraId="524F7E92">
      <w:pPr>
        <w:spacing w:line="520" w:lineRule="exact"/>
        <w:jc w:val="center"/>
        <w:rPr>
          <w:rFonts w:ascii="宋体" w:hAnsi="宋体"/>
          <w:b/>
          <w:bCs/>
          <w:sz w:val="36"/>
        </w:rPr>
      </w:pPr>
      <w:r>
        <w:rPr>
          <w:rFonts w:hint="eastAsia" w:ascii="宋体" w:hAnsi="宋体"/>
          <w:b/>
          <w:bCs/>
          <w:sz w:val="36"/>
        </w:rPr>
        <w:t>基础任务周简报</w:t>
      </w:r>
    </w:p>
    <w:p w14:paraId="4EB78E4A">
      <w:pPr>
        <w:tabs>
          <w:tab w:val="left" w:pos="5387"/>
        </w:tabs>
        <w:snapToGrid w:val="0"/>
        <w:spacing w:before="93" w:beforeLines="30" w:line="324" w:lineRule="auto"/>
        <w:rPr>
          <w:rFonts w:ascii="仿宋" w:hAnsi="仿宋" w:eastAsia="仿宋" w:cs="宋体"/>
          <w:sz w:val="10"/>
          <w:szCs w:val="10"/>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133"/>
        <w:gridCol w:w="1080"/>
        <w:gridCol w:w="3678"/>
        <w:gridCol w:w="1196"/>
        <w:gridCol w:w="1944"/>
      </w:tblGrid>
      <w:tr w14:paraId="50419C4A">
        <w:tc>
          <w:tcPr>
            <w:tcW w:w="1838" w:type="dxa"/>
            <w:gridSpan w:val="2"/>
          </w:tcPr>
          <w:p w14:paraId="72DA924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周报时段</w:t>
            </w:r>
          </w:p>
        </w:tc>
        <w:tc>
          <w:tcPr>
            <w:tcW w:w="7898" w:type="dxa"/>
            <w:gridSpan w:val="4"/>
            <w:vAlign w:val="center"/>
          </w:tcPr>
          <w:p w14:paraId="6B8EAB12">
            <w:r>
              <w:rPr>
                <w:rFonts w:ascii="仿宋" w:hAnsi="仿宋" w:eastAsia="仿宋"/>
                <w:sz w:val="24"/>
              </w:rPr>
              <w:t>2026年05月1</w:t>
            </w:r>
            <w:r>
              <w:rPr>
                <w:rFonts w:hint="eastAsia" w:ascii="仿宋" w:hAnsi="仿宋" w:eastAsia="仿宋"/>
                <w:sz w:val="24"/>
                <w:lang w:val="en-US" w:eastAsia="zh-CN"/>
              </w:rPr>
              <w:t>1</w:t>
            </w:r>
            <w:r>
              <w:rPr>
                <w:rFonts w:ascii="仿宋" w:hAnsi="仿宋" w:eastAsia="仿宋"/>
                <w:sz w:val="24"/>
              </w:rPr>
              <w:t>日-2026年05月</w:t>
            </w:r>
            <w:r>
              <w:rPr>
                <w:rFonts w:hint="eastAsia" w:ascii="仿宋" w:hAnsi="仿宋" w:eastAsia="仿宋"/>
                <w:sz w:val="24"/>
                <w:lang w:val="en-US" w:eastAsia="zh-CN"/>
              </w:rPr>
              <w:t>17</w:t>
            </w:r>
            <w:bookmarkStart w:id="0" w:name="_GoBack"/>
            <w:bookmarkEnd w:id="0"/>
            <w:r>
              <w:rPr>
                <w:rFonts w:ascii="仿宋" w:hAnsi="仿宋" w:eastAsia="仿宋"/>
                <w:sz w:val="24"/>
              </w:rPr>
              <w:t>日</w:t>
            </w:r>
          </w:p>
        </w:tc>
      </w:tr>
      <w:tr w14:paraId="5C698033">
        <w:tc>
          <w:tcPr>
            <w:tcW w:w="1838" w:type="dxa"/>
            <w:gridSpan w:val="2"/>
          </w:tcPr>
          <w:p w14:paraId="0015A472">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任务名称</w:t>
            </w:r>
          </w:p>
        </w:tc>
        <w:tc>
          <w:tcPr>
            <w:tcW w:w="4758" w:type="dxa"/>
            <w:gridSpan w:val="2"/>
            <w:vAlign w:val="center"/>
          </w:tcPr>
          <w:p w14:paraId="5952498F">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仿宋"/>
                <w:sz w:val="24"/>
                <w:szCs w:val="24"/>
              </w:rPr>
              <w:t>智能体驱动的区块链语义预言机技术研究</w:t>
            </w:r>
          </w:p>
        </w:tc>
        <w:tc>
          <w:tcPr>
            <w:tcW w:w="1196" w:type="dxa"/>
          </w:tcPr>
          <w:p w14:paraId="44DCC9DE">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负责人</w:t>
            </w:r>
          </w:p>
        </w:tc>
        <w:tc>
          <w:tcPr>
            <w:tcW w:w="1944" w:type="dxa"/>
            <w:vAlign w:val="center"/>
          </w:tcPr>
          <w:p w14:paraId="653925B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林怡静</w:t>
            </w:r>
          </w:p>
        </w:tc>
      </w:tr>
      <w:tr w14:paraId="12D63612">
        <w:trPr>
          <w:trHeight w:val="553" w:hRule="atLeast"/>
        </w:trPr>
        <w:tc>
          <w:tcPr>
            <w:tcW w:w="1838" w:type="dxa"/>
            <w:gridSpan w:val="2"/>
            <w:vMerge w:val="restart"/>
          </w:tcPr>
          <w:p w14:paraId="56681BBD">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本月研究计划</w:t>
            </w:r>
            <w:r>
              <w:rPr>
                <w:rFonts w:hint="eastAsia" w:ascii="仿宋" w:hAnsi="仿宋" w:eastAsia="仿宋" w:cs="宋体"/>
                <w:sz w:val="24"/>
                <w:szCs w:val="24"/>
                <w:vertAlign w:val="superscript"/>
              </w:rPr>
              <w:t>1</w:t>
            </w:r>
          </w:p>
        </w:tc>
        <w:tc>
          <w:tcPr>
            <w:tcW w:w="7898" w:type="dxa"/>
            <w:gridSpan w:val="4"/>
            <w:vAlign w:val="center"/>
          </w:tcPr>
          <w:p w14:paraId="54A9DD19">
            <w:r>
              <w:rPr>
                <w:rFonts w:ascii="仿宋" w:hAnsi="仿宋" w:eastAsia="仿宋" w:cs="仿宋"/>
                <w:sz w:val="24"/>
              </w:rPr>
              <w:t>本月任务：</w:t>
            </w:r>
          </w:p>
          <w:p w14:paraId="5FAF2C8A">
            <w:r>
              <w:rPr>
                <w:rFonts w:ascii="仿宋" w:hAnsi="仿宋" w:eastAsia="仿宋" w:cs="仿宋"/>
                <w:sz w:val="24"/>
              </w:rPr>
              <w:t>1) 设计并实现语义解析Agent，将链上预言机请求（自然语言/结构化混合）转换为可执行的多源检索意图；</w:t>
            </w:r>
          </w:p>
          <w:p w14:paraId="5164DD89">
            <w:r>
              <w:rPr>
                <w:rFonts w:ascii="仿宋" w:hAnsi="仿宋" w:eastAsia="仿宋" w:cs="仿宋"/>
                <w:sz w:val="24"/>
              </w:rPr>
              <w:t>2) 设计统一的异构数据源适配层，覆盖REST API、网页抓取与消息流三类外部接入方式；</w:t>
            </w:r>
          </w:p>
          <w:p w14:paraId="42002121">
            <w:r>
              <w:rPr>
                <w:rFonts w:ascii="仿宋" w:hAnsi="仿宋" w:eastAsia="仿宋" w:cs="仿宋"/>
                <w:sz w:val="24"/>
              </w:rPr>
              <w:t>3) 在既有真值发现原型前侧串联语义解析与采集层，打通"链上请求→意图解析→多源采集→进入既有真值聚合"前向链路；</w:t>
            </w:r>
          </w:p>
          <w:p w14:paraId="7EFEF783">
            <w:r>
              <w:rPr>
                <w:rFonts w:ascii="仿宋" w:hAnsi="仿宋" w:eastAsia="仿宋" w:cs="仿宋"/>
                <w:sz w:val="24"/>
              </w:rPr>
              <w:t>4) 针对采集异常、限流与超时设计统一回退与去重策略并完成压力联调。</w:t>
            </w:r>
          </w:p>
        </w:tc>
      </w:tr>
      <w:tr w14:paraId="5FE56868">
        <w:trPr>
          <w:trHeight w:val="589" w:hRule="atLeast"/>
        </w:trPr>
        <w:tc>
          <w:tcPr>
            <w:tcW w:w="1838" w:type="dxa"/>
            <w:gridSpan w:val="2"/>
            <w:vMerge w:val="continue"/>
          </w:tcPr>
          <w:p w14:paraId="3EE4FE8C">
            <w:pPr>
              <w:tabs>
                <w:tab w:val="left" w:pos="5387"/>
              </w:tabs>
              <w:snapToGrid w:val="0"/>
              <w:spacing w:before="93" w:beforeLines="30" w:line="324" w:lineRule="auto"/>
              <w:rPr>
                <w:rFonts w:ascii="仿宋" w:hAnsi="仿宋" w:eastAsia="仿宋" w:cs="宋体"/>
                <w:b/>
                <w:bCs/>
                <w:sz w:val="24"/>
                <w:szCs w:val="24"/>
              </w:rPr>
            </w:pPr>
          </w:p>
        </w:tc>
        <w:tc>
          <w:tcPr>
            <w:tcW w:w="7898" w:type="dxa"/>
            <w:gridSpan w:val="4"/>
            <w:vAlign w:val="center"/>
          </w:tcPr>
          <w:p w14:paraId="65CEC325">
            <w:r>
              <w:rPr>
                <w:rFonts w:ascii="仿宋" w:hAnsi="仿宋" w:eastAsia="仿宋" w:cs="仿宋"/>
                <w:sz w:val="24"/>
              </w:rPr>
              <w:t>本月成果指标：</w:t>
            </w:r>
          </w:p>
          <w:p w14:paraId="1CAE4BE4">
            <w:r>
              <w:rPr>
                <w:rFonts w:ascii="仿宋" w:hAnsi="仿宋" w:eastAsia="仿宋" w:cs="仿宋"/>
                <w:sz w:val="24"/>
              </w:rPr>
              <w:t>1) 语义解析Agent在不少于30条样例请求上意图正确率达到稳定可用水平；</w:t>
            </w:r>
          </w:p>
          <w:p w14:paraId="35FA576B">
            <w:r>
              <w:rPr>
                <w:rFonts w:ascii="仿宋" w:hAnsi="仿宋" w:eastAsia="仿宋" w:cs="仿宋"/>
                <w:sz w:val="24"/>
              </w:rPr>
              <w:t>2) 完成不少于6组前向链路联调实验，覆盖三类外部接入方式；</w:t>
            </w:r>
          </w:p>
          <w:p w14:paraId="16A9AF1D">
            <w:r>
              <w:rPr>
                <w:rFonts w:ascii="仿宋" w:hAnsi="仿宋" w:eastAsia="仿宋" w:cs="仿宋"/>
                <w:sz w:val="24"/>
              </w:rPr>
              <w:t>3) 完成4期周报；</w:t>
            </w:r>
          </w:p>
          <w:p w14:paraId="0C6814FB">
            <w:r>
              <w:rPr>
                <w:rFonts w:ascii="仿宋" w:hAnsi="仿宋" w:eastAsia="仿宋" w:cs="仿宋"/>
                <w:sz w:val="24"/>
              </w:rPr>
              <w:t>4) 完成1次语义解析与采集层评审。</w:t>
            </w:r>
          </w:p>
        </w:tc>
      </w:tr>
      <w:tr w14:paraId="1734FB0F">
        <w:tc>
          <w:tcPr>
            <w:tcW w:w="1838" w:type="dxa"/>
            <w:gridSpan w:val="2"/>
            <w:vMerge w:val="restart"/>
          </w:tcPr>
          <w:p w14:paraId="7EE34B3F">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本月任务分解</w:t>
            </w:r>
            <w:r>
              <w:rPr>
                <w:rFonts w:hint="eastAsia" w:ascii="仿宋" w:hAnsi="仿宋" w:eastAsia="仿宋" w:cs="宋体"/>
                <w:sz w:val="24"/>
                <w:szCs w:val="24"/>
                <w:vertAlign w:val="superscript"/>
              </w:rPr>
              <w:t>2</w:t>
            </w:r>
          </w:p>
        </w:tc>
        <w:tc>
          <w:tcPr>
            <w:tcW w:w="1080" w:type="dxa"/>
            <w:vAlign w:val="center"/>
          </w:tcPr>
          <w:p w14:paraId="70CABE8C">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第1周</w:t>
            </w:r>
          </w:p>
        </w:tc>
        <w:tc>
          <w:tcPr>
            <w:tcW w:w="6818" w:type="dxa"/>
            <w:gridSpan w:val="3"/>
            <w:shd w:val="clear" w:color="auto" w:fill="auto"/>
            <w:vAlign w:val="center"/>
          </w:tcPr>
          <w:p w14:paraId="56367778">
            <w:r>
              <w:rPr>
                <w:rFonts w:ascii="仿宋" w:hAnsi="仿宋" w:eastAsia="仿宋" w:cs="仿宋"/>
                <w:sz w:val="24"/>
              </w:rPr>
              <w:t>语义解析Agent设计与原型搭建：明确链上请求到检索意图的映射规则，完成语义解析Agent的接口定义与原型实现；</w:t>
            </w:r>
          </w:p>
        </w:tc>
      </w:tr>
      <w:tr w14:paraId="302E9762">
        <w:tc>
          <w:tcPr>
            <w:tcW w:w="1838" w:type="dxa"/>
            <w:gridSpan w:val="2"/>
            <w:vMerge w:val="continue"/>
          </w:tcPr>
          <w:p w14:paraId="66901A9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4158ADD0">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第2周</w:t>
            </w:r>
          </w:p>
        </w:tc>
        <w:tc>
          <w:tcPr>
            <w:tcW w:w="6818" w:type="dxa"/>
            <w:gridSpan w:val="3"/>
            <w:shd w:val="clear" w:color="auto" w:fill="auto"/>
            <w:vAlign w:val="center"/>
          </w:tcPr>
          <w:p w14:paraId="527B0426">
            <w:r>
              <w:rPr>
                <w:rFonts w:ascii="仿宋" w:hAnsi="仿宋" w:eastAsia="仿宋" w:cs="仿宋"/>
                <w:sz w:val="24"/>
              </w:rPr>
              <w:t>异构数据源适配层设计与接入：完成REST API、网页抓取、消息流三类适配器的封装，实现与采集Agent的对接；</w:t>
            </w:r>
          </w:p>
        </w:tc>
      </w:tr>
      <w:tr w14:paraId="2DA9A80E">
        <w:tc>
          <w:tcPr>
            <w:tcW w:w="1838" w:type="dxa"/>
            <w:gridSpan w:val="2"/>
            <w:vMerge w:val="continue"/>
          </w:tcPr>
          <w:p w14:paraId="067248A5">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6959A4B3">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第3周</w:t>
            </w:r>
          </w:p>
        </w:tc>
        <w:tc>
          <w:tcPr>
            <w:tcW w:w="6818" w:type="dxa"/>
            <w:gridSpan w:val="3"/>
            <w:shd w:val="clear" w:color="auto" w:fill="auto"/>
            <w:vAlign w:val="center"/>
          </w:tcPr>
          <w:p w14:paraId="2692C61F">
            <w:r>
              <w:rPr>
                <w:rFonts w:ascii="仿宋" w:hAnsi="仿宋" w:eastAsia="仿宋" w:cs="仿宋"/>
                <w:sz w:val="24"/>
              </w:rPr>
              <w:t>前向链路串联与联调：将语义解析、采集层与既有真值发现原型串联，打通端到端前向链路并跑通典型用例；</w:t>
            </w:r>
          </w:p>
        </w:tc>
      </w:tr>
      <w:tr w14:paraId="16AE237A">
        <w:tc>
          <w:tcPr>
            <w:tcW w:w="1838" w:type="dxa"/>
            <w:gridSpan w:val="2"/>
            <w:vMerge w:val="continue"/>
          </w:tcPr>
          <w:p w14:paraId="60A0F754">
            <w:pPr>
              <w:tabs>
                <w:tab w:val="left" w:pos="5387"/>
              </w:tabs>
              <w:snapToGrid w:val="0"/>
              <w:spacing w:before="93" w:beforeLines="30" w:line="324" w:lineRule="auto"/>
              <w:rPr>
                <w:rFonts w:ascii="仿宋" w:hAnsi="仿宋" w:eastAsia="仿宋" w:cs="宋体"/>
                <w:b/>
                <w:bCs/>
                <w:sz w:val="24"/>
                <w:szCs w:val="24"/>
              </w:rPr>
            </w:pPr>
          </w:p>
        </w:tc>
        <w:tc>
          <w:tcPr>
            <w:tcW w:w="1080" w:type="dxa"/>
            <w:vAlign w:val="center"/>
          </w:tcPr>
          <w:p w14:paraId="1A3D2DFB">
            <w:pPr>
              <w:tabs>
                <w:tab w:val="left" w:pos="5387"/>
              </w:tabs>
              <w:snapToGrid w:val="0"/>
              <w:spacing w:before="93" w:beforeLines="30" w:line="324" w:lineRule="auto"/>
              <w:rPr>
                <w:rFonts w:ascii="仿宋" w:hAnsi="仿宋" w:eastAsia="仿宋" w:cs="宋体"/>
                <w:sz w:val="24"/>
                <w:szCs w:val="24"/>
              </w:rPr>
            </w:pPr>
            <w:r>
              <w:rPr>
                <w:rFonts w:hint="eastAsia" w:ascii="仿宋" w:hAnsi="仿宋" w:eastAsia="仿宋" w:cs="宋体"/>
                <w:sz w:val="24"/>
                <w:szCs w:val="24"/>
              </w:rPr>
              <w:t>第4周</w:t>
            </w:r>
          </w:p>
        </w:tc>
        <w:tc>
          <w:tcPr>
            <w:tcW w:w="6818" w:type="dxa"/>
            <w:gridSpan w:val="3"/>
            <w:shd w:val="clear" w:color="auto" w:fill="auto"/>
            <w:vAlign w:val="center"/>
          </w:tcPr>
          <w:p w14:paraId="3028F0B8">
            <w:r>
              <w:rPr>
                <w:rFonts w:ascii="仿宋" w:hAnsi="仿宋" w:eastAsia="仿宋" w:cs="仿宋"/>
                <w:sz w:val="24"/>
              </w:rPr>
              <w:t>异常回退与压力联调：针对采集异常、限流与超时设计统一回退策略，开展前向链路压力联调并形成下月迭代建议；</w:t>
            </w:r>
          </w:p>
        </w:tc>
      </w:tr>
      <w:tr w14:paraId="4D23798A">
        <w:tc>
          <w:tcPr>
            <w:tcW w:w="6596" w:type="dxa"/>
            <w:gridSpan w:val="4"/>
            <w:tcBorders>
              <w:top w:val="single" w:color="auto" w:sz="12" w:space="0"/>
            </w:tcBorders>
            <w:vAlign w:val="center"/>
          </w:tcPr>
          <w:p w14:paraId="3193C2E8">
            <w:pPr>
              <w:tabs>
                <w:tab w:val="left" w:pos="5387"/>
              </w:tabs>
              <w:snapToGrid w:val="0"/>
              <w:spacing w:before="93" w:beforeLines="30" w:line="324" w:lineRule="auto"/>
              <w:rPr>
                <w:rFonts w:ascii="仿宋" w:hAnsi="仿宋" w:eastAsia="仿宋" w:cs="宋体"/>
                <w:b/>
                <w:bCs/>
                <w:sz w:val="24"/>
                <w:szCs w:val="24"/>
              </w:rPr>
            </w:pPr>
            <w:r>
              <w:rPr>
                <w:rFonts w:hint="eastAsia" w:ascii="仿宋" w:hAnsi="仿宋" w:eastAsia="仿宋" w:cs="宋体"/>
                <w:b/>
                <w:bCs/>
                <w:sz w:val="24"/>
                <w:szCs w:val="24"/>
              </w:rPr>
              <w:t>本周任务完成情况</w:t>
            </w:r>
          </w:p>
        </w:tc>
        <w:tc>
          <w:tcPr>
            <w:tcW w:w="3140" w:type="dxa"/>
            <w:gridSpan w:val="2"/>
            <w:tcBorders>
              <w:top w:val="single" w:color="auto" w:sz="12" w:space="0"/>
            </w:tcBorders>
            <w:vAlign w:val="center"/>
          </w:tcPr>
          <w:p w14:paraId="0CA911FB">
            <w:pPr>
              <w:tabs>
                <w:tab w:val="left" w:pos="5387"/>
              </w:tabs>
              <w:snapToGrid w:val="0"/>
              <w:spacing w:before="93" w:beforeLines="30" w:line="324" w:lineRule="auto"/>
              <w:rPr>
                <w:rFonts w:ascii="仿宋" w:hAnsi="仿宋" w:eastAsia="仿宋" w:cs="宋体"/>
                <w:b/>
                <w:bCs/>
                <w:sz w:val="24"/>
                <w:szCs w:val="24"/>
              </w:rPr>
            </w:pPr>
            <w:r>
              <w:t>周计划达成度3：100%</w:t>
            </w:r>
          </w:p>
        </w:tc>
      </w:tr>
      <w:tr w14:paraId="1B67E67B">
        <w:tc>
          <w:tcPr>
            <w:tcW w:w="705" w:type="dxa"/>
            <w:vAlign w:val="center"/>
          </w:tcPr>
          <w:p w14:paraId="64FA752D">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序号</w:t>
            </w:r>
          </w:p>
        </w:tc>
        <w:tc>
          <w:tcPr>
            <w:tcW w:w="5891" w:type="dxa"/>
            <w:gridSpan w:val="3"/>
            <w:vAlign w:val="center"/>
          </w:tcPr>
          <w:p w14:paraId="776E3B9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工作内容</w:t>
            </w:r>
          </w:p>
        </w:tc>
        <w:tc>
          <w:tcPr>
            <w:tcW w:w="1196" w:type="dxa"/>
            <w:vAlign w:val="center"/>
          </w:tcPr>
          <w:p w14:paraId="5AF07CBF">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参加人员</w:t>
            </w:r>
          </w:p>
        </w:tc>
        <w:tc>
          <w:tcPr>
            <w:tcW w:w="1944" w:type="dxa"/>
            <w:vAlign w:val="center"/>
          </w:tcPr>
          <w:p w14:paraId="56EE9F73">
            <w:pPr>
              <w:tabs>
                <w:tab w:val="left" w:pos="5387"/>
              </w:tabs>
              <w:snapToGrid w:val="0"/>
              <w:spacing w:before="93" w:beforeLines="30" w:line="324" w:lineRule="auto"/>
              <w:jc w:val="center"/>
              <w:rPr>
                <w:rFonts w:ascii="仿宋" w:hAnsi="仿宋" w:eastAsia="仿宋" w:cs="宋体"/>
                <w:b/>
                <w:bCs/>
                <w:sz w:val="24"/>
                <w:szCs w:val="24"/>
              </w:rPr>
            </w:pPr>
            <w:r>
              <w:rPr>
                <w:rFonts w:hint="eastAsia" w:ascii="仿宋" w:hAnsi="仿宋" w:eastAsia="仿宋" w:cs="宋体"/>
                <w:b/>
                <w:bCs/>
                <w:sz w:val="24"/>
                <w:szCs w:val="24"/>
              </w:rPr>
              <w:t>投入时间</w:t>
            </w:r>
            <w:r>
              <w:rPr>
                <w:rFonts w:hint="eastAsia" w:ascii="仿宋" w:hAnsi="仿宋" w:eastAsia="仿宋" w:cs="宋体"/>
                <w:b/>
                <w:bCs/>
                <w:sz w:val="15"/>
                <w:szCs w:val="15"/>
              </w:rPr>
              <w:t>（人/天）</w:t>
            </w:r>
          </w:p>
        </w:tc>
      </w:tr>
      <w:tr w14:paraId="076AB4C1">
        <w:tc>
          <w:tcPr>
            <w:tcW w:w="705" w:type="dxa"/>
            <w:vAlign w:val="center"/>
          </w:tcPr>
          <w:p w14:paraId="7C01BF24">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01</w:t>
            </w:r>
          </w:p>
        </w:tc>
        <w:tc>
          <w:tcPr>
            <w:tcW w:w="5891" w:type="dxa"/>
            <w:gridSpan w:val="3"/>
            <w:shd w:val="clear" w:color="auto" w:fill="auto"/>
            <w:vAlign w:val="center"/>
          </w:tcPr>
          <w:p w14:paraId="0ADA2ECE">
            <w:r>
              <w:rPr>
                <w:rFonts w:ascii="仿宋" w:hAnsi="仿宋" w:eastAsia="仿宋"/>
                <w:sz w:val="24"/>
              </w:rPr>
              <w:t>完成异构数据源适配层的统一接口定义，明确请求封装、响应封装与异常封装的字段规范，并约定REST API、网页抓取、消息流三类外部源的适配点。</w:t>
            </w:r>
          </w:p>
        </w:tc>
        <w:tc>
          <w:tcPr>
            <w:tcW w:w="1196" w:type="dxa"/>
            <w:shd w:val="clear" w:color="auto" w:fill="auto"/>
            <w:vAlign w:val="center"/>
          </w:tcPr>
          <w:p w14:paraId="54CFDC59">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45451CB2">
            <w:pPr>
              <w:rPr>
                <w:rFonts w:ascii="仿宋" w:hAnsi="仿宋" w:eastAsia="仿宋" w:cs="仿宋"/>
              </w:rPr>
            </w:pPr>
            <w:r>
              <w:rPr>
                <w:rFonts w:hint="eastAsia" w:ascii="仿宋" w:hAnsi="仿宋" w:eastAsia="仿宋" w:cs="仿宋"/>
              </w:rPr>
              <w:t>4</w:t>
            </w:r>
          </w:p>
        </w:tc>
      </w:tr>
      <w:tr w14:paraId="26E3C9A0">
        <w:tc>
          <w:tcPr>
            <w:tcW w:w="705" w:type="dxa"/>
            <w:vAlign w:val="center"/>
          </w:tcPr>
          <w:p w14:paraId="23A50CA8">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02</w:t>
            </w:r>
          </w:p>
        </w:tc>
        <w:tc>
          <w:tcPr>
            <w:tcW w:w="5891" w:type="dxa"/>
            <w:gridSpan w:val="3"/>
            <w:shd w:val="clear" w:color="auto" w:fill="auto"/>
            <w:vAlign w:val="center"/>
          </w:tcPr>
          <w:p w14:paraId="250CFE14">
            <w:r>
              <w:rPr>
                <w:rFonts w:ascii="仿宋" w:hAnsi="仿宋" w:eastAsia="仿宋"/>
                <w:sz w:val="24"/>
              </w:rPr>
              <w:t>完成REST API适配器实现，覆盖鉴权、重试与限流处理，标准化响应映射至统一字段口径，并接入语义解析Agent的检索意图调用。</w:t>
            </w:r>
          </w:p>
        </w:tc>
        <w:tc>
          <w:tcPr>
            <w:tcW w:w="1196" w:type="dxa"/>
            <w:shd w:val="clear" w:color="auto" w:fill="auto"/>
            <w:vAlign w:val="center"/>
          </w:tcPr>
          <w:p w14:paraId="65FBE633">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0BBB2E16">
            <w:pPr>
              <w:rPr>
                <w:rFonts w:ascii="仿宋" w:hAnsi="仿宋" w:eastAsia="仿宋" w:cs="仿宋"/>
              </w:rPr>
            </w:pPr>
            <w:r>
              <w:rPr>
                <w:rFonts w:hint="eastAsia" w:ascii="仿宋" w:hAnsi="仿宋" w:eastAsia="仿宋" w:cs="仿宋"/>
              </w:rPr>
              <w:t>4</w:t>
            </w:r>
          </w:p>
        </w:tc>
      </w:tr>
      <w:tr w14:paraId="071F1D55">
        <w:tc>
          <w:tcPr>
            <w:tcW w:w="705" w:type="dxa"/>
            <w:vAlign w:val="center"/>
          </w:tcPr>
          <w:p w14:paraId="1F93F8D8">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03</w:t>
            </w:r>
          </w:p>
        </w:tc>
        <w:tc>
          <w:tcPr>
            <w:tcW w:w="5891" w:type="dxa"/>
            <w:gridSpan w:val="3"/>
            <w:shd w:val="clear" w:color="auto" w:fill="auto"/>
            <w:vAlign w:val="center"/>
          </w:tcPr>
          <w:p w14:paraId="458C0D2C">
            <w:r>
              <w:rPr>
                <w:rFonts w:ascii="仿宋" w:hAnsi="仿宋" w:eastAsia="仿宋"/>
                <w:sz w:val="24"/>
              </w:rPr>
              <w:t>完成网页抓取适配器实现，覆盖选择器配置、字段抽取模板与同源去重逻辑，对接典型行情/资讯类网页源完成连通性验证。</w:t>
            </w:r>
          </w:p>
        </w:tc>
        <w:tc>
          <w:tcPr>
            <w:tcW w:w="1196" w:type="dxa"/>
            <w:shd w:val="clear" w:color="auto" w:fill="auto"/>
            <w:vAlign w:val="center"/>
          </w:tcPr>
          <w:p w14:paraId="3C5BFA96">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FA925E2">
            <w:pPr>
              <w:rPr>
                <w:rFonts w:ascii="仿宋" w:hAnsi="仿宋" w:eastAsia="仿宋" w:cs="仿宋"/>
              </w:rPr>
            </w:pPr>
            <w:r>
              <w:rPr>
                <w:rFonts w:hint="eastAsia" w:ascii="仿宋" w:hAnsi="仿宋" w:eastAsia="仿宋" w:cs="仿宋"/>
              </w:rPr>
              <w:t>4</w:t>
            </w:r>
          </w:p>
        </w:tc>
      </w:tr>
      <w:tr w14:paraId="062955A0">
        <w:tc>
          <w:tcPr>
            <w:tcW w:w="705" w:type="dxa"/>
            <w:vAlign w:val="center"/>
          </w:tcPr>
          <w:p w14:paraId="4FB4EB44">
            <w:pPr>
              <w:tabs>
                <w:tab w:val="left" w:pos="5387"/>
              </w:tabs>
              <w:snapToGrid w:val="0"/>
              <w:spacing w:before="93" w:beforeLines="30" w:line="324" w:lineRule="auto"/>
              <w:jc w:val="center"/>
              <w:rPr>
                <w:rFonts w:ascii="仿宋" w:hAnsi="仿宋" w:eastAsia="仿宋" w:cs="宋体"/>
                <w:sz w:val="24"/>
                <w:szCs w:val="24"/>
              </w:rPr>
            </w:pPr>
            <w:r>
              <w:rPr>
                <w:rFonts w:ascii="仿宋" w:hAnsi="仿宋" w:eastAsia="仿宋"/>
                <w:sz w:val="24"/>
              </w:rPr>
              <w:t>04</w:t>
            </w:r>
          </w:p>
        </w:tc>
        <w:tc>
          <w:tcPr>
            <w:tcW w:w="5891" w:type="dxa"/>
            <w:gridSpan w:val="3"/>
            <w:shd w:val="clear" w:color="auto" w:fill="auto"/>
            <w:vAlign w:val="center"/>
          </w:tcPr>
          <w:p w14:paraId="42B20417">
            <w:r>
              <w:rPr>
                <w:rFonts w:ascii="仿宋" w:hAnsi="仿宋" w:eastAsia="仿宋"/>
                <w:sz w:val="24"/>
              </w:rPr>
              <w:t>完成消息流适配器实现，覆盖订阅管理、窗口聚合与乱序处理，与采集Agent完成对接，并在不少于3类外部源上完成小规模联调试运。</w:t>
            </w:r>
          </w:p>
        </w:tc>
        <w:tc>
          <w:tcPr>
            <w:tcW w:w="1196" w:type="dxa"/>
            <w:shd w:val="clear" w:color="auto" w:fill="auto"/>
            <w:vAlign w:val="center"/>
          </w:tcPr>
          <w:p w14:paraId="5D33C0E0">
            <w:pPr>
              <w:rPr>
                <w:rFonts w:ascii="仿宋" w:hAnsi="仿宋" w:eastAsia="仿宋" w:cs="仿宋"/>
              </w:rPr>
            </w:pPr>
            <w:r>
              <w:rPr>
                <w:rFonts w:hint="eastAsia" w:ascii="仿宋" w:hAnsi="仿宋" w:eastAsia="仿宋" w:cs="仿宋"/>
              </w:rPr>
              <w:t>林怡静、华博文、冯晗桐、张文旭</w:t>
            </w:r>
          </w:p>
        </w:tc>
        <w:tc>
          <w:tcPr>
            <w:tcW w:w="1944" w:type="dxa"/>
            <w:shd w:val="clear" w:color="auto" w:fill="auto"/>
            <w:vAlign w:val="center"/>
          </w:tcPr>
          <w:p w14:paraId="257B4C42">
            <w:pPr>
              <w:rPr>
                <w:rFonts w:ascii="仿宋" w:hAnsi="仿宋" w:eastAsia="仿宋" w:cs="仿宋"/>
              </w:rPr>
            </w:pPr>
            <w:r>
              <w:rPr>
                <w:rFonts w:hint="eastAsia" w:ascii="仿宋" w:hAnsi="仿宋" w:eastAsia="仿宋" w:cs="仿宋"/>
              </w:rPr>
              <w:t>4</w:t>
            </w:r>
          </w:p>
        </w:tc>
      </w:tr>
      <w:tr w14:paraId="2B2DE536">
        <w:tc>
          <w:tcPr>
            <w:tcW w:w="1838" w:type="dxa"/>
            <w:gridSpan w:val="2"/>
            <w:vAlign w:val="center"/>
          </w:tcPr>
          <w:p w14:paraId="7AC67FD6">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highlight w:val="yellow"/>
              </w:rPr>
              <w:t>本周取得成果</w:t>
            </w:r>
            <w:r>
              <w:rPr>
                <w:rFonts w:hint="eastAsia" w:ascii="仿宋" w:hAnsi="仿宋" w:eastAsia="仿宋" w:cs="宋体"/>
                <w:sz w:val="24"/>
                <w:szCs w:val="24"/>
                <w:vertAlign w:val="superscript"/>
              </w:rPr>
              <w:t>4</w:t>
            </w:r>
          </w:p>
        </w:tc>
        <w:tc>
          <w:tcPr>
            <w:tcW w:w="7898" w:type="dxa"/>
            <w:gridSpan w:val="4"/>
            <w:vAlign w:val="center"/>
          </w:tcPr>
          <w:p w14:paraId="5E25CEEE">
            <w:r>
              <w:rPr>
                <w:rFonts w:ascii="仿宋" w:hAnsi="仿宋" w:eastAsia="仿宋"/>
                <w:sz w:val="24"/>
              </w:rPr>
              <w:t>在智能体驱动的区块链语义预言机技术研究方面，本周完成如下内容：</w:t>
            </w:r>
          </w:p>
          <w:p w14:paraId="07B0F470">
            <w:r>
              <w:rPr>
                <w:rFonts w:ascii="仿宋" w:hAnsi="仿宋" w:eastAsia="仿宋"/>
                <w:sz w:val="24"/>
              </w:rPr>
              <w:t>基于上周语义解析Agent的接口定义与原型，本周完成异构数据源适配层的统一接口规范，明确REST API、网页抓取与消息流三类外部接入方式在请求封装、响应封装与异常封装上的字段口径与边界。</w:t>
            </w:r>
          </w:p>
          <w:p w14:paraId="511CC31A">
            <w:r>
              <w:rPr>
                <w:rFonts w:ascii="仿宋" w:hAnsi="仿宋" w:eastAsia="仿宋"/>
                <w:sz w:val="24"/>
              </w:rPr>
              <w:t>完成三类适配器的封装实现，REST API侧覆盖鉴权、重试与限流处理，网页抓取侧覆盖选择器配置与同源去重，消息流侧覆盖订阅管理与窗口聚合，并与采集Agent完成统一对接。</w:t>
            </w:r>
          </w:p>
          <w:p w14:paraId="7F3890DA">
            <w:r>
              <w:rPr>
                <w:rFonts w:ascii="仿宋" w:hAnsi="仿宋" w:eastAsia="仿宋"/>
                <w:sz w:val="24"/>
              </w:rPr>
              <w:t>在不少于3类外部源上完成小规模联调试运，整理三类适配方式的典型异常与失败模式，为下周前向链路串联与联调阶段明确入参格式与回退策略对接优先级。</w:t>
            </w:r>
          </w:p>
        </w:tc>
      </w:tr>
      <w:tr w14:paraId="225E4D43">
        <w:tc>
          <w:tcPr>
            <w:tcW w:w="1838" w:type="dxa"/>
            <w:gridSpan w:val="2"/>
            <w:vAlign w:val="center"/>
          </w:tcPr>
          <w:p w14:paraId="1ABF0E3A">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月计划总体进展</w:t>
            </w:r>
            <w:r>
              <w:rPr>
                <w:rFonts w:ascii="仿宋" w:hAnsi="仿宋" w:eastAsia="仿宋" w:cs="宋体"/>
                <w:sz w:val="24"/>
                <w:szCs w:val="24"/>
                <w:vertAlign w:val="superscript"/>
              </w:rPr>
              <w:t>5</w:t>
            </w:r>
          </w:p>
        </w:tc>
        <w:tc>
          <w:tcPr>
            <w:tcW w:w="7898" w:type="dxa"/>
            <w:gridSpan w:val="4"/>
            <w:vAlign w:val="center"/>
          </w:tcPr>
          <w:p w14:paraId="666D0BDB">
            <w:r>
              <w:rPr>
                <w:rFonts w:ascii="仿宋" w:hAnsi="仿宋" w:eastAsia="仿宋"/>
                <w:sz w:val="24"/>
              </w:rPr>
              <w:t>月任务达成进度：50 %，进度正常</w:t>
            </w:r>
          </w:p>
        </w:tc>
      </w:tr>
      <w:tr w14:paraId="42483695">
        <w:trPr>
          <w:trHeight w:val="882" w:hRule="atLeast"/>
        </w:trPr>
        <w:tc>
          <w:tcPr>
            <w:tcW w:w="1838" w:type="dxa"/>
            <w:gridSpan w:val="2"/>
            <w:vAlign w:val="center"/>
          </w:tcPr>
          <w:p w14:paraId="16C6B924">
            <w:pPr>
              <w:tabs>
                <w:tab w:val="left" w:pos="5387"/>
              </w:tabs>
              <w:snapToGrid w:val="0"/>
              <w:spacing w:before="93" w:beforeLines="30" w:line="324" w:lineRule="auto"/>
              <w:rPr>
                <w:rFonts w:ascii="仿宋" w:hAnsi="仿宋" w:eastAsia="仿宋" w:cs="宋体"/>
                <w:b/>
                <w:bCs/>
                <w:sz w:val="24"/>
                <w:szCs w:val="24"/>
                <w:vertAlign w:val="superscript"/>
              </w:rPr>
            </w:pPr>
            <w:r>
              <w:rPr>
                <w:rFonts w:hint="eastAsia" w:ascii="仿宋" w:hAnsi="仿宋" w:eastAsia="仿宋" w:cs="宋体"/>
                <w:b/>
                <w:bCs/>
                <w:sz w:val="24"/>
                <w:szCs w:val="24"/>
              </w:rPr>
              <w:t>存在问题及调整方案</w:t>
            </w:r>
            <w:r>
              <w:rPr>
                <w:rFonts w:ascii="仿宋" w:hAnsi="仿宋" w:eastAsia="仿宋" w:cs="宋体"/>
                <w:sz w:val="24"/>
                <w:szCs w:val="24"/>
                <w:vertAlign w:val="superscript"/>
              </w:rPr>
              <w:t>6</w:t>
            </w:r>
          </w:p>
        </w:tc>
        <w:tc>
          <w:tcPr>
            <w:tcW w:w="7898" w:type="dxa"/>
            <w:gridSpan w:val="4"/>
            <w:vAlign w:val="center"/>
          </w:tcPr>
          <w:p w14:paraId="7F8C5B71">
            <w:r>
              <w:rPr>
                <w:rFonts w:hint="eastAsia" w:ascii="仿宋" w:hAnsi="仿宋" w:eastAsia="仿宋" w:cs="仿宋"/>
                <w:sz w:val="24"/>
              </w:rPr>
              <w:t>无</w:t>
            </w:r>
          </w:p>
        </w:tc>
      </w:tr>
    </w:tbl>
    <w:p w14:paraId="6762CBF7">
      <w:pPr>
        <w:tabs>
          <w:tab w:val="left" w:pos="5387"/>
        </w:tabs>
        <w:snapToGrid w:val="0"/>
        <w:spacing w:before="93" w:beforeLines="30" w:line="324" w:lineRule="auto"/>
        <w:jc w:val="center"/>
        <w:rPr>
          <w:rFonts w:ascii="宋体" w:hAnsi="宋体"/>
          <w:b/>
          <w:bCs/>
          <w:sz w:val="36"/>
        </w:rPr>
      </w:pPr>
      <w:r>
        <w:rPr>
          <w:rFonts w:hint="eastAsia" w:ascii="宋体" w:hAnsi="宋体"/>
          <w:b/>
          <w:bCs/>
          <w:sz w:val="36"/>
        </w:rPr>
        <w:t>填表说明</w:t>
      </w:r>
    </w:p>
    <w:p w14:paraId="5437BAC4">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1</w:t>
      </w:r>
      <w:r>
        <w:rPr>
          <w:rFonts w:ascii="仿宋" w:hAnsi="仿宋" w:eastAsia="仿宋" w:cs="宋体"/>
          <w:sz w:val="28"/>
          <w:szCs w:val="28"/>
        </w:rPr>
        <w:t>.</w:t>
      </w:r>
      <w:r>
        <w:rPr>
          <w:rFonts w:hint="eastAsia" w:ascii="仿宋" w:hAnsi="仿宋" w:eastAsia="仿宋" w:cs="宋体"/>
          <w:sz w:val="28"/>
          <w:szCs w:val="28"/>
        </w:rPr>
        <w:t>根据《未来区块链与隐私计算高精尖创新中心研究任务管理办法》，周简报是高精尖中心跟进任务实施进度、保证计划目标达成、促进团队交流协作的重要过程管理工具;</w:t>
      </w:r>
    </w:p>
    <w:p w14:paraId="7904CA97">
      <w:pPr>
        <w:tabs>
          <w:tab w:val="left" w:pos="5387"/>
        </w:tabs>
        <w:snapToGrid w:val="0"/>
        <w:spacing w:before="93" w:beforeLines="30" w:line="324" w:lineRule="auto"/>
        <w:ind w:firstLine="565" w:firstLineChars="202"/>
        <w:jc w:val="left"/>
        <w:rPr>
          <w:rFonts w:ascii="仿宋" w:hAnsi="仿宋" w:eastAsia="仿宋" w:cs="宋体"/>
          <w:sz w:val="28"/>
          <w:szCs w:val="28"/>
        </w:rPr>
      </w:pPr>
      <w:r>
        <w:rPr>
          <w:rFonts w:hint="eastAsia" w:ascii="仿宋" w:hAnsi="仿宋" w:eastAsia="仿宋" w:cs="宋体"/>
          <w:sz w:val="28"/>
          <w:szCs w:val="28"/>
        </w:rPr>
        <w:t>2</w:t>
      </w:r>
      <w:r>
        <w:rPr>
          <w:rFonts w:ascii="仿宋" w:hAnsi="仿宋" w:eastAsia="仿宋" w:cs="宋体"/>
          <w:sz w:val="28"/>
          <w:szCs w:val="28"/>
        </w:rPr>
        <w:t>.</w:t>
      </w:r>
      <w:r>
        <w:rPr>
          <w:rFonts w:hint="eastAsia" w:ascii="仿宋" w:hAnsi="仿宋" w:eastAsia="仿宋" w:cs="宋体"/>
          <w:sz w:val="28"/>
          <w:szCs w:val="28"/>
        </w:rPr>
        <w:t>周简报由任务负责人根据任务实际执行情况填写，于每周五晚</w:t>
      </w:r>
      <w:r>
        <w:rPr>
          <w:rFonts w:ascii="仿宋" w:hAnsi="仿宋" w:eastAsia="仿宋" w:cs="宋体"/>
          <w:sz w:val="28"/>
          <w:szCs w:val="28"/>
        </w:rPr>
        <w:t>21</w:t>
      </w:r>
      <w:r>
        <w:rPr>
          <w:rFonts w:hint="eastAsia" w:ascii="仿宋" w:hAnsi="仿宋" w:eastAsia="仿宋" w:cs="宋体"/>
          <w:sz w:val="28"/>
          <w:szCs w:val="28"/>
        </w:rPr>
        <w:t>点前发送至邮箱：</w:t>
      </w:r>
      <w:r>
        <w:fldChar w:fldCharType="begin"/>
      </w:r>
      <w:r>
        <w:instrText xml:space="preserve"> HYPERLINK "mailto:sunwenjin@buaa.edu.cn" </w:instrText>
      </w:r>
      <w:r>
        <w:fldChar w:fldCharType="separate"/>
      </w:r>
      <w:r>
        <w:rPr>
          <w:rStyle w:val="10"/>
          <w:rFonts w:hint="eastAsia" w:ascii="仿宋" w:hAnsi="仿宋" w:eastAsia="仿宋" w:cs="宋体"/>
          <w:sz w:val="28"/>
          <w:szCs w:val="28"/>
        </w:rPr>
        <w:t>fengchunlai@buaa.edu.cn</w:t>
      </w:r>
      <w:r>
        <w:rPr>
          <w:rStyle w:val="10"/>
          <w:rFonts w:hint="eastAsia" w:ascii="仿宋" w:hAnsi="仿宋" w:eastAsia="仿宋" w:cs="宋体"/>
          <w:sz w:val="28"/>
          <w:szCs w:val="28"/>
        </w:rPr>
        <w:fldChar w:fldCharType="end"/>
      </w:r>
      <w:r>
        <w:rPr>
          <w:rFonts w:hint="eastAsia" w:ascii="仿宋" w:hAnsi="仿宋" w:eastAsia="仿宋" w:cs="宋体"/>
          <w:sz w:val="28"/>
          <w:szCs w:val="28"/>
        </w:rPr>
        <w:t xml:space="preserve"> ，邮件标题请注明“任务负责人-任务名称”。</w:t>
      </w:r>
    </w:p>
    <w:p w14:paraId="47DCF772">
      <w:pPr>
        <w:tabs>
          <w:tab w:val="left" w:pos="5387"/>
        </w:tabs>
        <w:snapToGrid w:val="0"/>
        <w:spacing w:before="93" w:beforeLines="30" w:line="324" w:lineRule="auto"/>
        <w:ind w:left="1167" w:leftChars="257" w:hanging="627" w:hangingChars="224"/>
        <w:jc w:val="left"/>
        <w:rPr>
          <w:rFonts w:ascii="仿宋" w:hAnsi="仿宋" w:eastAsia="仿宋" w:cs="宋体"/>
          <w:sz w:val="28"/>
          <w:szCs w:val="28"/>
        </w:rPr>
      </w:pPr>
    </w:p>
    <w:p w14:paraId="030D9C2C">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注1</w:t>
      </w:r>
      <w:r>
        <w:rPr>
          <w:rFonts w:ascii="仿宋" w:hAnsi="仿宋" w:eastAsia="仿宋" w:cs="宋体"/>
          <w:sz w:val="24"/>
          <w:szCs w:val="24"/>
        </w:rPr>
        <w:t>.</w:t>
      </w:r>
      <w:r>
        <w:rPr>
          <w:rFonts w:hint="eastAsia" w:ascii="仿宋" w:hAnsi="仿宋" w:eastAsia="仿宋" w:cs="宋体"/>
          <w:sz w:val="24"/>
          <w:szCs w:val="24"/>
        </w:rPr>
        <w:t>本月研究计划：每月初更新，参照任务书“研究进度安排”填写本月主要任务、成果及其指标、预算执行进度；</w:t>
      </w:r>
    </w:p>
    <w:p w14:paraId="3C2CE999">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注2</w:t>
      </w:r>
      <w:r>
        <w:rPr>
          <w:rFonts w:ascii="仿宋" w:hAnsi="仿宋" w:eastAsia="仿宋" w:cs="宋体"/>
          <w:sz w:val="24"/>
          <w:szCs w:val="24"/>
        </w:rPr>
        <w:t>.</w:t>
      </w:r>
      <w:r>
        <w:rPr>
          <w:rFonts w:hint="eastAsia" w:ascii="仿宋" w:hAnsi="仿宋" w:eastAsia="仿宋" w:cs="宋体"/>
          <w:sz w:val="24"/>
          <w:szCs w:val="24"/>
        </w:rPr>
        <w:t>本月任务分解：每月初将月度任务拆解成周工作计划和预期成果；</w:t>
      </w:r>
    </w:p>
    <w:p w14:paraId="220A7378">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注3</w:t>
      </w:r>
      <w:r>
        <w:rPr>
          <w:rFonts w:ascii="仿宋" w:hAnsi="仿宋" w:eastAsia="仿宋" w:cs="宋体"/>
          <w:sz w:val="24"/>
          <w:szCs w:val="24"/>
        </w:rPr>
        <w:t>.</w:t>
      </w:r>
      <w:r>
        <w:rPr>
          <w:rFonts w:hint="eastAsia" w:ascii="仿宋" w:hAnsi="仿宋" w:eastAsia="仿宋" w:cs="宋体"/>
          <w:sz w:val="24"/>
          <w:szCs w:val="24"/>
        </w:rPr>
        <w:t>周计划达成度：指本周实际完成情况与本周工作计划的对比；</w:t>
      </w:r>
    </w:p>
    <w:p w14:paraId="05FC87C2">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注4.本周取得成果：请任务组根据中心三大任务方向填写相关内容（区块链方向、隐私计算方向、可信智能方向）；</w:t>
      </w:r>
    </w:p>
    <w:p w14:paraId="43F0C3B1">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5.</w:t>
      </w:r>
      <w:r>
        <w:rPr>
          <w:rFonts w:hint="eastAsia" w:ascii="仿宋" w:hAnsi="仿宋" w:eastAsia="仿宋" w:cs="宋体"/>
          <w:sz w:val="24"/>
          <w:szCs w:val="24"/>
        </w:rPr>
        <w:t>月计划总体进展状态：与本月研究计划中所列指标对比，按实际情况体现月任务达成进度和预算执行率；</w:t>
      </w:r>
    </w:p>
    <w:p w14:paraId="06902935">
      <w:pPr>
        <w:tabs>
          <w:tab w:val="left" w:pos="5387"/>
        </w:tabs>
        <w:snapToGrid w:val="0"/>
        <w:spacing w:before="93" w:beforeLines="30" w:line="324" w:lineRule="auto"/>
        <w:ind w:left="1077" w:leftChars="257" w:hanging="537" w:hangingChars="224"/>
        <w:jc w:val="left"/>
        <w:rPr>
          <w:rFonts w:ascii="仿宋" w:hAnsi="仿宋" w:eastAsia="仿宋" w:cs="宋体"/>
          <w:sz w:val="24"/>
          <w:szCs w:val="24"/>
        </w:rPr>
      </w:pPr>
      <w:r>
        <w:rPr>
          <w:rFonts w:hint="eastAsia" w:ascii="仿宋" w:hAnsi="仿宋" w:eastAsia="仿宋" w:cs="宋体"/>
          <w:sz w:val="24"/>
          <w:szCs w:val="24"/>
        </w:rPr>
        <w:t>注</w:t>
      </w:r>
      <w:r>
        <w:rPr>
          <w:rFonts w:ascii="仿宋" w:hAnsi="仿宋" w:eastAsia="仿宋" w:cs="宋体"/>
          <w:sz w:val="24"/>
          <w:szCs w:val="24"/>
        </w:rPr>
        <w:t>6.</w:t>
      </w:r>
      <w:r>
        <w:rPr>
          <w:rFonts w:hint="eastAsia" w:ascii="仿宋" w:hAnsi="仿宋" w:eastAsia="仿宋" w:cs="宋体"/>
          <w:sz w:val="24"/>
          <w:szCs w:val="24"/>
        </w:rPr>
        <w:t>存在问题及调整方案：可提出任务执行过程的问题和需求。如本周计划达成度及月任务达成度进度滞后，需提出解决或调整方案。</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538E4">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AF06">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7553B">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A28A">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10D4">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CBDB9">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Y0ODQ5ZGUyMDNlMDY4NDhjMjlkNzAzOThmNGYwYzEifQ=="/>
  </w:docVars>
  <w:rsids>
    <w:rsidRoot w:val="006F7341"/>
    <w:rsid w:val="000A0540"/>
    <w:rsid w:val="000A797A"/>
    <w:rsid w:val="000D6404"/>
    <w:rsid w:val="001E10D0"/>
    <w:rsid w:val="0026274C"/>
    <w:rsid w:val="002A2CA9"/>
    <w:rsid w:val="00320209"/>
    <w:rsid w:val="004C555F"/>
    <w:rsid w:val="00676392"/>
    <w:rsid w:val="006F7341"/>
    <w:rsid w:val="0079045B"/>
    <w:rsid w:val="00880150"/>
    <w:rsid w:val="008E1B0C"/>
    <w:rsid w:val="009D33AD"/>
    <w:rsid w:val="00A625EB"/>
    <w:rsid w:val="00AE2711"/>
    <w:rsid w:val="00AF4426"/>
    <w:rsid w:val="00BD0DE7"/>
    <w:rsid w:val="00CA613C"/>
    <w:rsid w:val="00D61436"/>
    <w:rsid w:val="00DE408E"/>
    <w:rsid w:val="00E82AFE"/>
    <w:rsid w:val="00EA1170"/>
    <w:rsid w:val="00ED138D"/>
    <w:rsid w:val="00EE3E3E"/>
    <w:rsid w:val="00F42183"/>
    <w:rsid w:val="02443CCC"/>
    <w:rsid w:val="150B76A1"/>
    <w:rsid w:val="1F550A14"/>
    <w:rsid w:val="23A81914"/>
    <w:rsid w:val="24315017"/>
    <w:rsid w:val="267372D5"/>
    <w:rsid w:val="2B0068A8"/>
    <w:rsid w:val="2F3F0791"/>
    <w:rsid w:val="342B6FCD"/>
    <w:rsid w:val="3622753F"/>
    <w:rsid w:val="39316051"/>
    <w:rsid w:val="3C887FDB"/>
    <w:rsid w:val="3E2462C6"/>
    <w:rsid w:val="3FB740D4"/>
    <w:rsid w:val="409C21DF"/>
    <w:rsid w:val="4403001B"/>
    <w:rsid w:val="450A0F8A"/>
    <w:rsid w:val="52E4477B"/>
    <w:rsid w:val="5A144EA7"/>
    <w:rsid w:val="5C1B42CB"/>
    <w:rsid w:val="5F57386C"/>
    <w:rsid w:val="68920396"/>
    <w:rsid w:val="69416B66"/>
    <w:rsid w:val="73EB05CF"/>
    <w:rsid w:val="76347D81"/>
    <w:rsid w:val="77FF12B2"/>
    <w:rsid w:val="7D5F07C4"/>
    <w:rsid w:val="7EBF3CA3"/>
    <w:rsid w:val="E19A3170"/>
    <w:rsid w:val="ED7B87B2"/>
    <w:rsid w:val="FF47603B"/>
    <w:rsid w:val="FFBE2A15"/>
    <w:rsid w:val="FFFF2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link w:val="9"/>
    <w:autoRedefine/>
    <w:qFormat/>
    <w:uiPriority w:val="0"/>
    <w:pPr>
      <w:keepNext/>
      <w:keepLines/>
      <w:spacing w:before="260" w:after="260" w:line="413" w:lineRule="auto"/>
      <w:outlineLvl w:val="1"/>
    </w:pPr>
    <w:rPr>
      <w:rFonts w:ascii="Cambria" w:hAnsi="Cambria"/>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link w:val="2"/>
    <w:qFormat/>
    <w:uiPriority w:val="0"/>
    <w:rPr>
      <w:rFonts w:ascii="Cambria" w:hAnsi="Cambria" w:eastAsia="宋体" w:cs="Times New Roman"/>
      <w:b/>
      <w:bCs/>
      <w:kern w:val="2"/>
      <w:sz w:val="32"/>
      <w:szCs w:val="32"/>
    </w:rPr>
  </w:style>
  <w:style w:type="character" w:styleId="10">
    <w:name w:val="Hyperlink"/>
    <w:basedOn w:val="8"/>
    <w:qFormat/>
    <w:uiPriority w:val="99"/>
    <w:rPr>
      <w:color w:val="0563C1"/>
      <w:u w:val="single"/>
    </w:rPr>
  </w:style>
  <w:style w:type="paragraph" w:customStyle="1" w:styleId="11">
    <w:name w:val="Char Char Char Char Char Char Char Char Char1 Char Char Char Char Char Char Char"/>
    <w:basedOn w:val="1"/>
    <w:qFormat/>
    <w:uiPriority w:val="0"/>
    <w:pPr>
      <w:spacing w:line="360" w:lineRule="auto"/>
      <w:ind w:firstLine="200" w:firstLineChars="200"/>
    </w:pPr>
  </w:style>
  <w:style w:type="character" w:customStyle="1" w:styleId="12">
    <w:name w:val="未处理的提及1"/>
    <w:basedOn w:val="8"/>
    <w:qFormat/>
    <w:uiPriority w:val="99"/>
    <w:rPr>
      <w:color w:val="605E5C"/>
      <w:shd w:val="clear" w:color="auto" w:fill="E1DFDD"/>
    </w:rPr>
  </w:style>
  <w:style w:type="character" w:customStyle="1" w:styleId="13">
    <w:name w:val="未处理的提及2"/>
    <w:basedOn w:val="8"/>
    <w:semiHidden/>
    <w:unhideWhenUsed/>
    <w:qFormat/>
    <w:uiPriority w:val="99"/>
    <w:rPr>
      <w:color w:val="605E5C"/>
      <w:shd w:val="clear" w:color="auto" w:fill="E1DFDD"/>
    </w:rPr>
  </w:style>
  <w:style w:type="paragraph" w:styleId="1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289</Words>
  <Characters>1651</Characters>
  <Lines>13</Lines>
  <Paragraphs>3</Paragraphs>
  <TotalTime>15</TotalTime>
  <ScaleCrop>false</ScaleCrop>
  <LinksUpToDate>false</LinksUpToDate>
  <CharactersWithSpaces>1937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2023-11-12T19:43:00Z</dcterms:created>
  <dc:creator>WL圣度</dc:creator>
  <cp:lastModifiedBy>WPS_hh0424</cp:lastModifiedBy>
  <cp:lastPrinted>2023-12-02T11:07:00Z</cp:lastPrinted>
  <dcterms:modified xsi:type="dcterms:W3CDTF">2026-05-18T14:07:28Z</dcterms:modified>
  <dc:title>高精尖中心研究任务周简报</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CWM5ca60bb3918b41acad0380717bc78ea0">
    <vt:lpwstr>CWMp5A/lAdddt+JH8RAOvqX6N6gnVCb7JXRRO9zYgQHWeWdtR1v67YrzdWtW9gfp44Hst2csxAAiKKYeULN76mjpw==</vt:lpwstr>
  </property>
  <property fmtid="{D5CDD505-2E9C-101B-9397-08002B2CF9AE}" pid="4" name="ICV">
    <vt:lpwstr>1C9F785880B37E56ACCED4692A4DE11A_43</vt:lpwstr>
  </property>
  <property fmtid="{D5CDD505-2E9C-101B-9397-08002B2CF9AE}" pid="5" name="KSOTemplateDocerSaveRecord">
    <vt:lpwstr>eyJoZGlkIjoiMzY0OGMxNmEzYTQ3ZjQxYjcwYWQzNmZjYzBmMmNiMzAiLCJ1c2VySWQiOiIxNTcyMTY0ODEzIn0=</vt:lpwstr>
  </property>
</Properties>
</file>