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8722D0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524F7E92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4EB78E4A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0419C4A">
        <w:tc>
          <w:tcPr>
            <w:tcW w:w="1838" w:type="dxa"/>
            <w:gridSpan w:val="2"/>
          </w:tcPr>
          <w:p w14:paraId="72DA924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2026年06月01日-2026年06月07日</w:t>
            </w:r>
          </w:p>
        </w:tc>
      </w:tr>
      <w:tr w14:paraId="5C698033">
        <w:tc>
          <w:tcPr>
            <w:tcW w:w="1838" w:type="dxa"/>
            <w:gridSpan w:val="2"/>
          </w:tcPr>
          <w:p w14:paraId="0015A47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12D63612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56681BB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 xml:space="preserve">本月任务：</w:t>
            </w:r>
          </w:p>
          <w:p>
            <w:r>
              <w:rPr>
                <w:rFonts w:ascii="仿宋" w:hAnsi="仿宋" w:eastAsia="仿宋" w:cs="仿宋"/>
                <w:sz w:val="24"/>
              </w:rPr>
              <w:t xml:space="preserve">1) 将ChatGLM、GPT、LLaMA、Google、Tencent五类LLM作为新的语义数据源Agent接入系统，统一提示与响应封装；</w:t>
            </w:r>
          </w:p>
          <w:p>
            <w:r>
              <w:rPr>
                <w:rFonts w:ascii="仿宋" w:hAnsi="仿宋" w:eastAsia="仿宋" w:cs="仿宋"/>
                <w:sz w:val="24"/>
              </w:rPr>
              <w:t xml:space="preserve">2) 设计零样本基线提示策略，建立同题多源响应采集与对齐流程；</w:t>
            </w:r>
          </w:p>
          <w:p>
            <w:r>
              <w:rPr>
                <w:rFonts w:ascii="仿宋" w:hAnsi="仿宋" w:eastAsia="仿宋" w:cs="仿宋"/>
                <w:sz w:val="24"/>
              </w:rPr>
              <w:t xml:space="preserve">3) 在五类LLM上开展基线一致性、事实性与延迟的横向画像；</w:t>
            </w:r>
          </w:p>
          <w:p>
            <w:r>
              <w:rPr>
                <w:rFonts w:ascii="仿宋" w:hAnsi="仿宋" w:eastAsia="仿宋" w:cs="仿宋"/>
                <w:sz w:val="24"/>
              </w:rPr>
              <w:t xml:space="preserve">4) 分析LLM源相对于传统API源在真值聚合中的差异化贡献与失败模式。</w:t>
            </w:r>
          </w:p>
        </w:tc>
      </w:tr>
      <w:tr w14:paraId="5FE56868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3EE4F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 xml:space="preserve">本月成果指标：</w:t>
            </w:r>
          </w:p>
          <w:p>
            <w:r>
              <w:rPr>
                <w:rFonts w:ascii="仿宋" w:hAnsi="仿宋" w:eastAsia="仿宋" w:cs="仿宋"/>
                <w:sz w:val="24"/>
              </w:rPr>
              <w:t xml:space="preserve">1) 5类LLM数据源全部接入并稳定运行；</w:t>
            </w:r>
          </w:p>
          <w:p>
            <w:r>
              <w:rPr>
                <w:rFonts w:ascii="仿宋" w:hAnsi="仿宋" w:eastAsia="仿宋" w:cs="仿宋"/>
                <w:sz w:val="24"/>
              </w:rPr>
              <w:t xml:space="preserve">2) 完成不少于5组多LLM基线画像实验；</w:t>
            </w:r>
          </w:p>
          <w:p>
            <w:r>
              <w:rPr>
                <w:rFonts w:ascii="仿宋" w:hAnsi="仿宋" w:eastAsia="仿宋" w:cs="仿宋"/>
                <w:sz w:val="24"/>
              </w:rPr>
              <w:t xml:space="preserve">3) 完成4期周报；</w:t>
            </w:r>
          </w:p>
          <w:p>
            <w:r>
              <w:rPr>
                <w:rFonts w:ascii="仿宋" w:hAnsi="仿宋" w:eastAsia="仿宋" w:cs="仿宋"/>
                <w:sz w:val="24"/>
              </w:rPr>
              <w:t xml:space="preserve">4) 完成1次LLM接入效果评审。</w:t>
            </w:r>
          </w:p>
        </w:tc>
      </w:tr>
      <w:tr w14:paraId="1734FB0F">
        <w:tc>
          <w:tcPr>
            <w:tcW w:w="1838" w:type="dxa"/>
            <w:gridSpan w:val="2"/>
            <w:vMerge w:val="restart"/>
          </w:tcPr>
          <w:p w14:paraId="7EE34B3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 xml:space="preserve">多LLM语义数据源接入与统一封装：将五类LLM作为语义数据源Agent接入系统，统一提示模板与响应封装格式，复用既有适配层对接规范；</w:t>
            </w:r>
          </w:p>
        </w:tc>
      </w:tr>
      <w:tr w14:paraId="302E9762">
        <w:tc>
          <w:tcPr>
            <w:tcW w:w="1838" w:type="dxa"/>
            <w:gridSpan w:val="2"/>
            <w:vMerge w:val="continue"/>
          </w:tcPr>
          <w:p w14:paraId="66901A9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 xml:space="preserve">零样本基线提示策略与多源响应采集：设计零样本基线提示策略，建立同题多源响应采集与对齐流程，统一输出格式与字段口径；</w:t>
            </w:r>
          </w:p>
        </w:tc>
      </w:tr>
      <w:tr w14:paraId="2DA9A80E">
        <w:tc>
          <w:tcPr>
            <w:tcW w:w="1838" w:type="dxa"/>
            <w:gridSpan w:val="2"/>
            <w:vMerge w:val="continue"/>
          </w:tcPr>
          <w:p w14:paraId="067248A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 xml:space="preserve">多LLM基线横向画像：在五类LLM上开展基线一致性、事实性与延迟的横向画像，完成多组基线画像实验；</w:t>
            </w:r>
          </w:p>
        </w:tc>
      </w:tr>
      <w:tr w14:paraId="16AE237A">
        <w:tc>
          <w:tcPr>
            <w:tcW w:w="1838" w:type="dxa"/>
            <w:gridSpan w:val="2"/>
            <w:vMerge w:val="continue"/>
          </w:tcPr>
          <w:p w14:paraId="60A0F75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 xml:space="preserve">LLM源差异化贡献与失败模式分析：分析LLM源相对于传统API源在真值聚合中的差异化贡献与典型失败模式，形成LLM接入效果评审结论；</w:t>
            </w:r>
          </w:p>
        </w:tc>
      </w:tr>
      <w:tr w14:paraId="4D23798A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3193C2E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  <w:bookmarkStart w:id="0" w:name="_GoBack"/>
            <w:bookmarkEnd w:id="0"/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0CA911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t xml:space="preserve">周计划达成度3：100%</w:t>
            </w:r>
          </w:p>
        </w:tc>
      </w:tr>
      <w:tr w14:paraId="1B67E67B">
        <w:tc>
          <w:tcPr>
            <w:tcW w:w="705" w:type="dxa"/>
            <w:vAlign w:val="center"/>
          </w:tcPr>
          <w:p w14:paraId="64FA752D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076AB4C1">
        <w:tc>
          <w:tcPr>
            <w:tcW w:w="705" w:type="dxa"/>
            <w:vAlign w:val="center"/>
          </w:tcPr>
          <w:p w14:paraId="7C01BF2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梳理ChatGLM、GPT、LLaMA、Google、Tencent五类LLM的接入方式与调用差异，明确统一语义数据源Agent的封装目标与接口边界。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6E3C9A0">
        <w:tc>
          <w:tcPr>
            <w:tcW w:w="705" w:type="dxa"/>
            <w:vAlign w:val="center"/>
          </w:tcPr>
          <w:p w14:paraId="23A50CA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完成五类LLM的统一提示模板与响应封装设计，复用既有异构数据源适配层的对接规范，统一鉴权、超时与重试处理。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71F1D55">
        <w:tc>
          <w:tcPr>
            <w:tcW w:w="705" w:type="dxa"/>
            <w:vAlign w:val="center"/>
          </w:tcPr>
          <w:p w14:paraId="1F93F8D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完成五类LLM作为语义数据源Agent的接入实现，验证各模型在统一调用下的连通性与响应稳定性。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62955A0">
        <w:tc>
          <w:tcPr>
            <w:tcW w:w="705" w:type="dxa"/>
            <w:vAlign w:val="center"/>
          </w:tcPr>
          <w:p w14:paraId="4FB4EB4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基于本周接入结果整理各模型的响应特征与异常表现，明确下周零样本基线提示策略与多源响应采集的对接优先级。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B2DE536">
        <w:tc>
          <w:tcPr>
            <w:tcW w:w="1838" w:type="dxa"/>
            <w:gridSpan w:val="2"/>
            <w:vAlign w:val="center"/>
          </w:tcPr>
          <w:p w14:paraId="7AC67FD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在智能体驱动的区块链语义预言机技术研究方面，本周完成如下内容：</w:t>
            </w:r>
          </w:p>
          <w:p>
            <w:r>
              <w:rPr>
                <w:rFonts w:ascii="仿宋" w:hAnsi="仿宋" w:eastAsia="仿宋"/>
                <w:sz w:val="24"/>
              </w:rPr>
              <w:t xml:space="preserve">基于上月已打通的语义解析与异构数据源接入前向链路，本周启动多LLM语义数据源接入阶段工作，梳理ChatGLM、GPT、LLaMA、Google、Tencent五类LLM的接入方式与调用差异，明确统一语义数据源Agent的封装目标与接口边界。</w:t>
            </w:r>
          </w:p>
          <w:p>
            <w:r>
              <w:rPr>
                <w:rFonts w:ascii="仿宋" w:hAnsi="仿宋" w:eastAsia="仿宋"/>
                <w:sz w:val="24"/>
              </w:rPr>
              <w:t xml:space="preserve">完成五类LLM的统一提示模板与响应封装设计，复用既有异构数据源适配层的对接规范，统一鉴权、超时与重试处理，完成五类LLM作为语义数据源Agent的接入实现并验证连通性与响应稳定性。</w:t>
            </w:r>
          </w:p>
          <w:p>
            <w:r>
              <w:rPr>
                <w:rFonts w:ascii="仿宋" w:hAnsi="仿宋" w:eastAsia="仿宋"/>
                <w:sz w:val="24"/>
              </w:rPr>
              <w:t xml:space="preserve">基于本周接入结果整理各模型的响应特征与异常表现，明确下周零样本基线提示策略与多源响应采集对齐的对接优先级，为多LLM基线画像做好输入准备。</w:t>
            </w:r>
          </w:p>
        </w:tc>
      </w:tr>
      <w:tr w14:paraId="225E4D43">
        <w:tc>
          <w:tcPr>
            <w:tcW w:w="1838" w:type="dxa"/>
            <w:gridSpan w:val="2"/>
            <w:vAlign w:val="center"/>
          </w:tcPr>
          <w:p w14:paraId="1ABF0E3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月任务达成进度：25 %，进度正常</w:t>
            </w:r>
          </w:p>
        </w:tc>
      </w:tr>
      <w:tr w14:paraId="42483695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6C6B92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hint="eastAsia" w:ascii="仿宋" w:hAnsi="仿宋" w:eastAsia="仿宋" w:cs="仿宋"/>
                <w:sz w:val="24"/>
              </w:rPr>
              <w:t xml:space="preserve">无</w:t>
            </w:r>
          </w:p>
        </w:tc>
      </w:tr>
    </w:tbl>
    <w:p w14:paraId="6762CBF7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5437BAC4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47DCF772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030D9C2C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220A7378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5FC87C2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538E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AF0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7553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A28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010D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CBDB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0540"/>
    <w:rsid w:val="000A797A"/>
    <w:rsid w:val="000D6404"/>
    <w:rsid w:val="001E10D0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A1170"/>
    <w:rsid w:val="00ED138D"/>
    <w:rsid w:val="00EE3E3E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E19A3170"/>
    <w:rsid w:val="ED7B87B2"/>
    <w:rsid w:val="FF47603B"/>
    <w:rsid w:val="FFBE2A15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289</Words>
  <Characters>1651</Characters>
  <Lines>13</Lines>
  <Paragraphs>3</Paragraphs>
  <TotalTime>15</TotalTime>
  <ScaleCrop>false</ScaleCrop>
  <LinksUpToDate>false</LinksUpToDate>
  <CharactersWithSpaces>1937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2023-11-12T11:43:00Z</dcterms:created>
  <dc:creator>WL圣度</dc:creator>
  <cp:lastModifiedBy>WPS_hh0424</cp:lastModifiedBy>
  <cp:lastPrinted>2023-12-02T03:07:00Z</cp:lastPrinted>
  <dcterms:modified xsi:type="dcterms:W3CDTF">2026-04-10T14:27:50Z</dcterms:modified>
  <dc:title>高精尖中心研究任务周简报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1C9F785880B37E56ACCED4692A4DE11A_43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