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8722D0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未来区块链与隐私计算高精尖创新中心</w:t>
      </w:r>
    </w:p>
    <w:p w14:paraId="524F7E92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基础任务周简报</w:t>
      </w:r>
    </w:p>
    <w:p w14:paraId="4EB78E4A">
      <w:pPr>
        <w:tabs>
          <w:tab w:val="left" w:pos="5387"/>
        </w:tabs>
        <w:snapToGrid w:val="0"/>
        <w:spacing w:before="93" w:beforeLines="30" w:line="324" w:lineRule="auto"/>
        <w:rPr>
          <w:rFonts w:ascii="仿宋" w:hAnsi="仿宋" w:eastAsia="仿宋" w:cs="宋体"/>
          <w:sz w:val="10"/>
          <w:szCs w:val="1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133"/>
        <w:gridCol w:w="1080"/>
        <w:gridCol w:w="3678"/>
        <w:gridCol w:w="1196"/>
        <w:gridCol w:w="1944"/>
      </w:tblGrid>
      <w:tr w14:paraId="50419C4A">
        <w:tc>
          <w:tcPr>
            <w:tcW w:w="1838" w:type="dxa"/>
            <w:gridSpan w:val="2"/>
          </w:tcPr>
          <w:p w14:paraId="72DA924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 w14:paraId="352006AC">
            <w:r>
              <w:rPr>
                <w:rFonts w:ascii="仿宋" w:hAnsi="仿宋" w:eastAsia="仿宋"/>
                <w:sz w:val="24"/>
              </w:rPr>
              <w:t>2026年06月08日-2026年06月14日</w:t>
            </w:r>
          </w:p>
        </w:tc>
      </w:tr>
      <w:tr w14:paraId="5C698033">
        <w:tc>
          <w:tcPr>
            <w:tcW w:w="1838" w:type="dxa"/>
            <w:gridSpan w:val="2"/>
          </w:tcPr>
          <w:p w14:paraId="0015A47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5952498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44DCC9DE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653925B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林怡静</w:t>
            </w:r>
          </w:p>
        </w:tc>
      </w:tr>
      <w:tr w14:paraId="12D63612">
        <w:trPr>
          <w:trHeight w:val="553" w:hRule="atLeast"/>
        </w:trPr>
        <w:tc>
          <w:tcPr>
            <w:tcW w:w="1838" w:type="dxa"/>
            <w:gridSpan w:val="2"/>
            <w:vMerge w:val="restart"/>
          </w:tcPr>
          <w:p w14:paraId="56681BBD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本月研究计划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 w14:paraId="721C0E4B">
            <w:r>
              <w:rPr>
                <w:rFonts w:ascii="仿宋" w:hAnsi="仿宋" w:eastAsia="仿宋" w:cs="仿宋"/>
                <w:sz w:val="24"/>
              </w:rPr>
              <w:t>本月任务：</w:t>
            </w:r>
          </w:p>
          <w:p w14:paraId="3A6B2B2E">
            <w:r>
              <w:rPr>
                <w:rFonts w:ascii="仿宋" w:hAnsi="仿宋" w:eastAsia="仿宋" w:cs="仿宋"/>
                <w:sz w:val="24"/>
              </w:rPr>
              <w:t>1) 将ChatGLM、GPT、LLaMA、Google、Tencent五类LLM作为新的语义数据源Agent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尝试</w:t>
            </w:r>
            <w:r>
              <w:rPr>
                <w:rFonts w:ascii="仿宋" w:hAnsi="仿宋" w:eastAsia="仿宋" w:cs="仿宋"/>
                <w:sz w:val="24"/>
              </w:rPr>
              <w:t>接入系统，统一提示与响应封装；</w:t>
            </w:r>
            <w:bookmarkStart w:id="0" w:name="_GoBack"/>
            <w:bookmarkEnd w:id="0"/>
          </w:p>
          <w:p w14:paraId="05643F38">
            <w:r>
              <w:rPr>
                <w:rFonts w:ascii="仿宋" w:hAnsi="仿宋" w:eastAsia="仿宋" w:cs="仿宋"/>
                <w:sz w:val="24"/>
              </w:rPr>
              <w:t>2) 设计零样本基线提示策略，建立同题多源响应采集与对齐流程；</w:t>
            </w:r>
          </w:p>
          <w:p w14:paraId="7973F2EE">
            <w:r>
              <w:rPr>
                <w:rFonts w:ascii="仿宋" w:hAnsi="仿宋" w:eastAsia="仿宋" w:cs="仿宋"/>
                <w:sz w:val="24"/>
              </w:rPr>
              <w:t>3) 在五类LLM上开展基线一致性、事实性与延迟的横向画像；</w:t>
            </w:r>
          </w:p>
          <w:p w14:paraId="00999613">
            <w:r>
              <w:rPr>
                <w:rFonts w:ascii="仿宋" w:hAnsi="仿宋" w:eastAsia="仿宋" w:cs="仿宋"/>
                <w:sz w:val="24"/>
              </w:rPr>
              <w:t>4) 分析LLM源相对于传统API源在真值聚合中的差异化贡献与失败模式。</w:t>
            </w:r>
          </w:p>
        </w:tc>
      </w:tr>
      <w:tr w14:paraId="5FE56868">
        <w:trPr>
          <w:trHeight w:val="589" w:hRule="atLeast"/>
        </w:trPr>
        <w:tc>
          <w:tcPr>
            <w:tcW w:w="1838" w:type="dxa"/>
            <w:gridSpan w:val="2"/>
            <w:vMerge w:val="continue"/>
          </w:tcPr>
          <w:p w14:paraId="3EE4F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 w14:paraId="3895907F">
            <w:r>
              <w:rPr>
                <w:rFonts w:ascii="仿宋" w:hAnsi="仿宋" w:eastAsia="仿宋" w:cs="仿宋"/>
                <w:sz w:val="24"/>
              </w:rPr>
              <w:t>本月成果指标：</w:t>
            </w:r>
          </w:p>
          <w:p w14:paraId="6977A15B">
            <w:r>
              <w:rPr>
                <w:rFonts w:ascii="仿宋" w:hAnsi="仿宋" w:eastAsia="仿宋" w:cs="仿宋"/>
                <w:sz w:val="24"/>
              </w:rPr>
              <w:t>1) 5类LLM数据源全部接入；</w:t>
            </w:r>
          </w:p>
          <w:p w14:paraId="094644D1">
            <w:r>
              <w:rPr>
                <w:rFonts w:ascii="仿宋" w:hAnsi="仿宋" w:eastAsia="仿宋" w:cs="仿宋"/>
                <w:sz w:val="24"/>
              </w:rPr>
              <w:t>2) 完成不少于5组多LLM基线画像实验；</w:t>
            </w:r>
          </w:p>
          <w:p w14:paraId="41E5D6DA">
            <w:r>
              <w:rPr>
                <w:rFonts w:ascii="仿宋" w:hAnsi="仿宋" w:eastAsia="仿宋" w:cs="仿宋"/>
                <w:sz w:val="24"/>
              </w:rPr>
              <w:t>3) 完成4期周报；</w:t>
            </w:r>
          </w:p>
          <w:p w14:paraId="310F957E">
            <w:r>
              <w:rPr>
                <w:rFonts w:ascii="仿宋" w:hAnsi="仿宋" w:eastAsia="仿宋" w:cs="仿宋"/>
                <w:sz w:val="24"/>
              </w:rPr>
              <w:t>4) 完成1次LLM接入效果评审。</w:t>
            </w:r>
          </w:p>
        </w:tc>
      </w:tr>
      <w:tr w14:paraId="1734FB0F">
        <w:tc>
          <w:tcPr>
            <w:tcW w:w="1838" w:type="dxa"/>
            <w:gridSpan w:val="2"/>
            <w:vMerge w:val="restart"/>
          </w:tcPr>
          <w:p w14:paraId="7EE34B3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本月任务分解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70CAB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7346FFA">
            <w:r>
              <w:rPr>
                <w:rFonts w:ascii="仿宋" w:hAnsi="仿宋" w:eastAsia="仿宋" w:cs="仿宋"/>
                <w:sz w:val="24"/>
              </w:rPr>
              <w:t>多LLM语义数据源接入与统一封装：将五类LLM作为语义数据源Agent接入系统，统一提示模板与响应封装格式，复用既有适配层对接规范；</w:t>
            </w:r>
          </w:p>
        </w:tc>
      </w:tr>
      <w:tr w14:paraId="302E9762">
        <w:tc>
          <w:tcPr>
            <w:tcW w:w="1838" w:type="dxa"/>
            <w:gridSpan w:val="2"/>
            <w:vMerge w:val="continue"/>
          </w:tcPr>
          <w:p w14:paraId="66901A9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158ADD0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BAC68C6">
            <w:r>
              <w:rPr>
                <w:rFonts w:ascii="仿宋" w:hAnsi="仿宋" w:eastAsia="仿宋" w:cs="仿宋"/>
                <w:sz w:val="24"/>
              </w:rPr>
              <w:t>零样本基线提示策略与多源响应采集：设计零样本基线提示策略，建立同题多源响应采集与对齐流程，统一输出格式与字段口径；</w:t>
            </w:r>
          </w:p>
        </w:tc>
      </w:tr>
      <w:tr w14:paraId="2DA9A80E">
        <w:tc>
          <w:tcPr>
            <w:tcW w:w="1838" w:type="dxa"/>
            <w:gridSpan w:val="2"/>
            <w:vMerge w:val="continue"/>
          </w:tcPr>
          <w:p w14:paraId="067248A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59A4B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11DB0F8E">
            <w:r>
              <w:rPr>
                <w:rFonts w:ascii="仿宋" w:hAnsi="仿宋" w:eastAsia="仿宋" w:cs="仿宋"/>
                <w:sz w:val="24"/>
              </w:rPr>
              <w:t>多LLM基线横向画像：在五类LLM上开展基线一致性、事实性与延迟的横向画像，完成多组基线画像实验；</w:t>
            </w:r>
          </w:p>
        </w:tc>
      </w:tr>
      <w:tr w14:paraId="16AE237A">
        <w:tc>
          <w:tcPr>
            <w:tcW w:w="1838" w:type="dxa"/>
            <w:gridSpan w:val="2"/>
            <w:vMerge w:val="continue"/>
          </w:tcPr>
          <w:p w14:paraId="60A0F75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3D2D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7E584794">
            <w:r>
              <w:rPr>
                <w:rFonts w:ascii="仿宋" w:hAnsi="仿宋" w:eastAsia="仿宋" w:cs="仿宋"/>
                <w:sz w:val="24"/>
              </w:rPr>
              <w:t>LLM源差异化贡献与失败模式分析：分析LLM源相对于传统API源在真值聚合中的差异化贡献与典型失败模式，形成LLM接入效果评审结论；</w:t>
            </w:r>
          </w:p>
        </w:tc>
      </w:tr>
      <w:tr w14:paraId="4D23798A">
        <w:tc>
          <w:tcPr>
            <w:tcW w:w="6596" w:type="dxa"/>
            <w:gridSpan w:val="4"/>
            <w:tcBorders>
              <w:top w:val="single" w:color="auto" w:sz="12" w:space="0"/>
            </w:tcBorders>
            <w:vAlign w:val="center"/>
          </w:tcPr>
          <w:p w14:paraId="3193C2E8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本周任务完成情况</w:t>
            </w:r>
          </w:p>
        </w:tc>
        <w:tc>
          <w:tcPr>
            <w:tcW w:w="3140" w:type="dxa"/>
            <w:gridSpan w:val="2"/>
            <w:tcBorders>
              <w:top w:val="single" w:color="auto" w:sz="12" w:space="0"/>
            </w:tcBorders>
            <w:vAlign w:val="center"/>
          </w:tcPr>
          <w:p w14:paraId="0CA911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t>周计划达成度3：100%</w:t>
            </w:r>
          </w:p>
        </w:tc>
      </w:tr>
      <w:tr w14:paraId="1B67E67B">
        <w:tc>
          <w:tcPr>
            <w:tcW w:w="705" w:type="dxa"/>
            <w:vAlign w:val="center"/>
          </w:tcPr>
          <w:p w14:paraId="64FA752D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776E3B9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5AF07CB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56EE9F7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投入时间</w:t>
            </w:r>
            <w:r>
              <w:rPr>
                <w:rFonts w:hint="eastAsia" w:ascii="仿宋" w:hAnsi="仿宋" w:eastAsia="仿宋" w:cs="宋体"/>
                <w:b/>
                <w:bCs/>
                <w:sz w:val="15"/>
                <w:szCs w:val="15"/>
              </w:rPr>
              <w:t>（人/天）</w:t>
            </w:r>
          </w:p>
        </w:tc>
      </w:tr>
      <w:tr w14:paraId="076AB4C1">
        <w:tc>
          <w:tcPr>
            <w:tcW w:w="705" w:type="dxa"/>
            <w:vAlign w:val="center"/>
          </w:tcPr>
          <w:p w14:paraId="7C01BF2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BF65823">
            <w:r>
              <w:rPr>
                <w:rFonts w:ascii="仿宋" w:hAnsi="仿宋" w:eastAsia="仿宋"/>
                <w:sz w:val="24"/>
              </w:rPr>
              <w:t>设计五类LLM统一的零样本基线提示策略，明确提问模板、约束说明与输出格式要求，确保各模型在同一口径下作答。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4CFDC59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5451CB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6E3C9A0">
        <w:tc>
          <w:tcPr>
            <w:tcW w:w="705" w:type="dxa"/>
            <w:vAlign w:val="center"/>
          </w:tcPr>
          <w:p w14:paraId="23A50CA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20DAB173">
            <w:r>
              <w:rPr>
                <w:rFonts w:ascii="仿宋" w:hAnsi="仿宋" w:eastAsia="仿宋"/>
                <w:sz w:val="24"/>
              </w:rPr>
              <w:t>建立同题多源响应采集流程，围绕事实一致性、逻辑一致性、开放性及混合常识等多类问题开展五类LLM同题采集。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5FBE633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BBB2E1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71F1D55">
        <w:tc>
          <w:tcPr>
            <w:tcW w:w="705" w:type="dxa"/>
            <w:vAlign w:val="center"/>
          </w:tcPr>
          <w:p w14:paraId="1F93F8D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</w:rPr>
              <w:t>03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35DC34FB">
            <w:r>
              <w:rPr>
                <w:rFonts w:ascii="仿宋" w:hAnsi="仿宋" w:eastAsia="仿宋"/>
                <w:sz w:val="24"/>
              </w:rPr>
              <w:t>完成多源响应的对齐与归一化处理，统一字段口径与编码格式，对重复、截断与异常响应完成清洗与去重。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C5BFA9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FA925E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62955A0">
        <w:tc>
          <w:tcPr>
            <w:tcW w:w="705" w:type="dxa"/>
            <w:vAlign w:val="center"/>
          </w:tcPr>
          <w:p w14:paraId="4FB4EB4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</w:rPr>
              <w:t>04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C7FBB1A">
            <w:r>
              <w:rPr>
                <w:rFonts w:ascii="仿宋" w:hAnsi="仿宋" w:eastAsia="仿宋"/>
                <w:sz w:val="24"/>
              </w:rPr>
              <w:t>基于采集与对齐结果核验各模型响应质量分布，明确下周多LLM基线横向画像实验的指标口径与分组方案。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D33C0E0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57B4C4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B2DE536">
        <w:tc>
          <w:tcPr>
            <w:tcW w:w="1838" w:type="dxa"/>
            <w:gridSpan w:val="2"/>
            <w:vAlign w:val="center"/>
          </w:tcPr>
          <w:p w14:paraId="7AC67FD6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 w14:paraId="71A353AC">
            <w:r>
              <w:rPr>
                <w:rFonts w:ascii="仿宋" w:hAnsi="仿宋" w:eastAsia="仿宋"/>
                <w:sz w:val="24"/>
              </w:rPr>
              <w:t>在智能体驱动的区块链语义预言机技术研究方面，本周完成如下内容：</w:t>
            </w:r>
          </w:p>
          <w:p w14:paraId="504D38CD">
            <w:r>
              <w:rPr>
                <w:rFonts w:ascii="仿宋" w:hAnsi="仿宋" w:eastAsia="仿宋"/>
                <w:sz w:val="24"/>
              </w:rPr>
              <w:t>完成五类LLM零样本基线提示策略设计，统一提问模板、约束说明与输出口径，验证各模型在统一提示下作答的可比性；</w:t>
            </w:r>
          </w:p>
          <w:p w14:paraId="458D71D5">
            <w:r>
              <w:rPr>
                <w:rFonts w:ascii="仿宋" w:hAnsi="仿宋" w:eastAsia="仿宋"/>
                <w:sz w:val="24"/>
              </w:rPr>
              <w:t>建立同题多源响应采集与对齐流程，覆盖事实一致性、逻辑一致性、开放性与混合常识等多类问题，完成多组同题多源响应采集；</w:t>
            </w:r>
          </w:p>
          <w:p w14:paraId="6B36843F">
            <w:r>
              <w:rPr>
                <w:rFonts w:ascii="仿宋" w:hAnsi="仿宋" w:eastAsia="仿宋"/>
                <w:sz w:val="24"/>
              </w:rPr>
              <w:t>完成多源响应数据的字段归一与异常清洗，形成对齐后的同题多源响应集合，并明确下周基线横向画像实验的指标口径与分组方案。</w:t>
            </w:r>
          </w:p>
        </w:tc>
      </w:tr>
      <w:tr w14:paraId="225E4D43">
        <w:tc>
          <w:tcPr>
            <w:tcW w:w="1838" w:type="dxa"/>
            <w:gridSpan w:val="2"/>
            <w:vAlign w:val="center"/>
          </w:tcPr>
          <w:p w14:paraId="1ABF0E3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 w14:paraId="415CDE53">
            <w:r>
              <w:rPr>
                <w:rFonts w:ascii="仿宋" w:hAnsi="仿宋" w:eastAsia="仿宋"/>
                <w:sz w:val="24"/>
              </w:rPr>
              <w:t>月任务达成进度：50 %，进度正常</w:t>
            </w:r>
          </w:p>
        </w:tc>
      </w:tr>
      <w:tr w14:paraId="42483695">
        <w:trPr>
          <w:trHeight w:val="882" w:hRule="atLeast"/>
        </w:trPr>
        <w:tc>
          <w:tcPr>
            <w:tcW w:w="1838" w:type="dxa"/>
            <w:gridSpan w:val="2"/>
            <w:vAlign w:val="center"/>
          </w:tcPr>
          <w:p w14:paraId="16C6B92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 w14:paraId="7DD19F41"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 w14:paraId="6762CBF7">
      <w:pPr>
        <w:tabs>
          <w:tab w:val="left" w:pos="5387"/>
        </w:tabs>
        <w:snapToGrid w:val="0"/>
        <w:spacing w:before="93" w:beforeLines="30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填表说明</w:t>
      </w:r>
    </w:p>
    <w:p w14:paraId="5437BAC4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1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7904CA97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周简报由任务负责人根据任务实际执行情况填写，于每周五晚</w:t>
      </w:r>
      <w:r>
        <w:rPr>
          <w:rFonts w:ascii="仿宋" w:hAnsi="仿宋" w:eastAsia="仿宋" w:cs="宋体"/>
          <w:sz w:val="28"/>
          <w:szCs w:val="28"/>
        </w:rPr>
        <w:t>21</w:t>
      </w:r>
      <w:r>
        <w:rPr>
          <w:rFonts w:hint="eastAsia" w:ascii="仿宋" w:hAnsi="仿宋" w:eastAsia="仿宋" w:cs="宋体"/>
          <w:sz w:val="28"/>
          <w:szCs w:val="28"/>
        </w:rPr>
        <w:t>点前发送至邮箱：</w:t>
      </w:r>
      <w:r>
        <w:fldChar w:fldCharType="begin"/>
      </w:r>
      <w:r>
        <w:instrText xml:space="preserve"> HYPERLINK "mailto:sunwenjin@buaa.edu.cn" </w:instrText>
      </w:r>
      <w:r>
        <w:fldChar w:fldCharType="separate"/>
      </w:r>
      <w:r>
        <w:rPr>
          <w:rStyle w:val="10"/>
          <w:rFonts w:hint="eastAsia" w:ascii="仿宋" w:hAnsi="仿宋" w:eastAsia="仿宋" w:cs="宋体"/>
          <w:sz w:val="28"/>
          <w:szCs w:val="28"/>
        </w:rPr>
        <w:t>fengchunlai@buaa.edu.cn</w:t>
      </w:r>
      <w:r>
        <w:rPr>
          <w:rStyle w:val="10"/>
          <w:rFonts w:hint="eastAsia" w:ascii="仿宋" w:hAnsi="仿宋" w:eastAsia="仿宋" w:cs="宋体"/>
          <w:sz w:val="28"/>
          <w:szCs w:val="28"/>
        </w:rPr>
        <w:fldChar w:fldCharType="end"/>
      </w:r>
      <w:r>
        <w:rPr>
          <w:rFonts w:hint="eastAsia" w:ascii="仿宋" w:hAnsi="仿宋" w:eastAsia="仿宋" w:cs="宋体"/>
          <w:sz w:val="28"/>
          <w:szCs w:val="28"/>
        </w:rPr>
        <w:t xml:space="preserve"> ，邮件标题请注明“任务负责人-任务名称”。</w:t>
      </w:r>
    </w:p>
    <w:p w14:paraId="47DCF772">
      <w:pPr>
        <w:tabs>
          <w:tab w:val="left" w:pos="5387"/>
        </w:tabs>
        <w:snapToGrid w:val="0"/>
        <w:spacing w:before="93" w:beforeLines="30" w:line="324" w:lineRule="auto"/>
        <w:ind w:left="1167" w:leftChars="257" w:hanging="627" w:hangingChars="224"/>
        <w:jc w:val="left"/>
        <w:rPr>
          <w:rFonts w:ascii="仿宋" w:hAnsi="仿宋" w:eastAsia="仿宋" w:cs="宋体"/>
          <w:sz w:val="28"/>
          <w:szCs w:val="28"/>
        </w:rPr>
      </w:pPr>
    </w:p>
    <w:p w14:paraId="030D9C2C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注1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3C2CE999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注2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本月任务分解：每月初将月度任务拆解成周工作计划和预期成果；</w:t>
      </w:r>
    </w:p>
    <w:p w14:paraId="220A7378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注3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周计划达成度：指本周实际完成情况与本周工作计划的对比；</w:t>
      </w:r>
    </w:p>
    <w:p w14:paraId="05FC87C2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43F0C3B1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5.</w:t>
      </w:r>
      <w:r>
        <w:rPr>
          <w:rFonts w:hint="eastAsia" w:ascii="仿宋" w:hAnsi="仿宋" w:eastAsia="仿宋" w:cs="宋体"/>
          <w:sz w:val="24"/>
          <w:szCs w:val="24"/>
        </w:rPr>
        <w:t>月计划总体进展状态：与本月研究计划中所列指标对比，按实际情况体现月任务达成进度和预算执行率；</w:t>
      </w:r>
    </w:p>
    <w:p w14:paraId="06902935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6.</w:t>
      </w:r>
      <w:r>
        <w:rPr>
          <w:rFonts w:hint="eastAsia" w:ascii="仿宋" w:hAnsi="仿宋" w:eastAsia="仿宋" w:cs="宋体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538E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4AF06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7553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4A28A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010D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CBDB9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0ODQ5ZGUyMDNlMDY4NDhjMjlkNzAzOThmNGYwYzEifQ=="/>
  </w:docVars>
  <w:rsids>
    <w:rsidRoot w:val="006F7341"/>
    <w:rsid w:val="000A0540"/>
    <w:rsid w:val="000A797A"/>
    <w:rsid w:val="000D6404"/>
    <w:rsid w:val="001E10D0"/>
    <w:rsid w:val="0026274C"/>
    <w:rsid w:val="002A2CA9"/>
    <w:rsid w:val="00320209"/>
    <w:rsid w:val="004C555F"/>
    <w:rsid w:val="00676392"/>
    <w:rsid w:val="006F7341"/>
    <w:rsid w:val="0079045B"/>
    <w:rsid w:val="00880150"/>
    <w:rsid w:val="008E1B0C"/>
    <w:rsid w:val="009D33AD"/>
    <w:rsid w:val="00A625EB"/>
    <w:rsid w:val="00AE2711"/>
    <w:rsid w:val="00AF4426"/>
    <w:rsid w:val="00BD0DE7"/>
    <w:rsid w:val="00CA613C"/>
    <w:rsid w:val="00D61436"/>
    <w:rsid w:val="00DE408E"/>
    <w:rsid w:val="00E82AFE"/>
    <w:rsid w:val="00EA1170"/>
    <w:rsid w:val="00ED138D"/>
    <w:rsid w:val="00EE3E3E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4DF6BCC4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  <w:rsid w:val="E19A3170"/>
    <w:rsid w:val="ED7B87B2"/>
    <w:rsid w:val="FF47603B"/>
    <w:rsid w:val="FFBE2A15"/>
    <w:rsid w:val="FF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9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link w:val="2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10">
    <w:name w:val="Hyperlink"/>
    <w:basedOn w:val="8"/>
    <w:qFormat/>
    <w:uiPriority w:val="99"/>
    <w:rPr>
      <w:color w:val="0563C1"/>
      <w:u w:val="single"/>
    </w:rPr>
  </w:style>
  <w:style w:type="paragraph" w:customStyle="1" w:styleId="11">
    <w:name w:val="Char Char Char Char Char Char Char Char Char1 Char Char Char Char Char Char Char"/>
    <w:basedOn w:val="1"/>
    <w:qFormat/>
    <w:uiPriority w:val="0"/>
    <w:pPr>
      <w:spacing w:line="360" w:lineRule="auto"/>
      <w:ind w:firstLine="200" w:firstLineChars="200"/>
    </w:pPr>
  </w:style>
  <w:style w:type="character" w:customStyle="1" w:styleId="12">
    <w:name w:val="未处理的提及1"/>
    <w:basedOn w:val="8"/>
    <w:qFormat/>
    <w:uiPriority w:val="99"/>
    <w:rPr>
      <w:color w:val="605E5C"/>
      <w:shd w:val="clear" w:color="auto" w:fill="E1DFDD"/>
    </w:rPr>
  </w:style>
  <w:style w:type="character" w:customStyle="1" w:styleId="13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289</Words>
  <Characters>1651</Characters>
  <Lines>13</Lines>
  <Paragraphs>3</Paragraphs>
  <TotalTime>20</TotalTime>
  <ScaleCrop>false</ScaleCrop>
  <LinksUpToDate>false</LinksUpToDate>
  <CharactersWithSpaces>1937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2023-11-12T19:43:00Z</dcterms:created>
  <dc:creator>WL圣度</dc:creator>
  <cp:lastModifiedBy>WPS_hh0424</cp:lastModifiedBy>
  <cp:lastPrinted>2023-12-02T11:07:00Z</cp:lastPrinted>
  <dcterms:modified xsi:type="dcterms:W3CDTF">2026-06-12T15:04:42Z</dcterms:modified>
  <dc:title>高精尖中心研究任务周简报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1C9F785880B37E56ACCED4692A4DE11A_43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