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目次</w:t>
          </w:r>
        </w:p>
        <w:p>
          <w:r>
            <w:fldChar w:fldCharType="begin" w:dirty="true"/>
            <w:instrText xml:space="preserve">TOC \o "1-2" \h \z \u</w:instrText>
            <w:fldChar w:fldCharType="separate"/>
            <w:fldChar w:fldCharType="end"/>
          </w:r>
        </w:p>
      </w:sdtContent>
    </w:sdt>
    <w:p>
      <w:pPr>
        <w:pStyle w:val="Heading1"/>
      </w:pPr>
      <w:bookmarkStart w:id="20" w:name="フランスにおける建築物の動的lca制度に関する調査報告書"/>
      <w:r>
        <w:t xml:space="preserve">フランスにおける建築物の動的LCA制度に関する調査報告書</w:t>
      </w:r>
      <w:bookmarkEnd w:id="20"/>
    </w:p>
    <w:p>
      <w:pPr>
        <w:pStyle w:val="Heading2"/>
      </w:pPr>
      <w:bookmarkStart w:id="21" w:name="調査ブロック①政策及び制度調査統合版"/>
      <w:r>
        <w:t xml:space="preserve">調査ブロック①（政策及び制度調査）統合版</w:t>
      </w:r>
      <w:bookmarkEnd w:id="21"/>
    </w:p>
    <w:p>
      <w:pPr>
        <w:pStyle w:val="FirstParagraph"/>
      </w:pPr>
      <w:r>
        <w:rPr>
          <w:b/>
        </w:rPr>
        <w:t xml:space="preserve">発行:</w:t>
      </w:r>
      <w:r>
        <w:t xml:space="preserve"> </w:t>
      </w:r>
      <w:r>
        <w:t xml:space="preserve">一般社団法人サステナブル経営推進機構（SuMPO）動的LCA調査プロジェクト 第1係</w:t>
      </w:r>
      <w:r>
        <w:t xml:space="preserve"> </w:t>
      </w:r>
      <w:r>
        <w:rPr>
          <w:b/>
        </w:rPr>
        <w:t xml:space="preserve">版:</w:t>
      </w:r>
      <w:r>
        <w:t xml:space="preserve"> </w:t>
      </w:r>
      <w:r>
        <w:t xml:space="preserve">v2.0 — 2026年6月12日（PMOファクトチェック再評価・一次資料照合・導入判断強化を全面反映した統合版）</w:t>
      </w:r>
      <w:r>
        <w:t xml:space="preserve"> </w:t>
      </w:r>
      <w:r>
        <w:rPr>
          <w:b/>
        </w:rPr>
        <w:t xml:space="preserve">対象読者:</w:t>
      </w:r>
      <w:r>
        <w:t xml:space="preserve"> </w:t>
      </w:r>
      <w:r>
        <w:t xml:space="preserve">林野庁担当者・意思決定者（LCA専門家でない方も対象）</w:t>
      </w:r>
    </w:p>
    <w:p>
      <w:r>
        <w:pict>
          <v:rect style="width:0;height:1.5pt" o:hralign="center" o:hrstd="t" o:hr="t"/>
        </w:pict>
      </w:r>
    </w:p>
    <w:p>
      <w:pPr>
        <w:pStyle w:val="Heading2"/>
      </w:pPr>
      <w:bookmarkStart w:id="22" w:name="本版v2.0について"/>
      <w:r>
        <w:t xml:space="preserve">本版（v2.0）について</w:t>
      </w:r>
      <w:bookmarkEnd w:id="22"/>
    </w:p>
    <w:p>
      <w:pPr>
        <w:pStyle w:val="FirstParagraph"/>
      </w:pPr>
      <w:r>
        <w:t xml:space="preserve">本書は、調査ブロック①の4つの調査報告書（調査項目①〜④、TASKS No.1〜14）を1冊に統合したものである。v2.0では、PMOによる独立ファクトチェック（2026年6月11日〜12日）に基づき、以下を全面反映した。</w:t>
      </w:r>
    </w:p>
    <w:p>
      <w:pPr>
        <w:pStyle w:val="BodyText"/>
      </w:pPr>
      <w:r>
        <w:rPr>
          <w:b/>
        </w:rPr>
        <w:t xml:space="preserve">主な修正・強化点:</w:t>
      </w:r>
    </w:p>
    <w:p>
      <w:pPr>
        <w:numPr>
          <w:ilvl w:val="0"/>
          <w:numId w:val="1001"/>
        </w:numPr>
        <w:pStyle w:val="Compact"/>
      </w:pPr>
      <w:r>
        <w:t xml:space="preserve">実在が確認できない規格（ISO 21391-1）への言及を全て削除し、実在の国際標準化動向（CEN/TC 350等）に基づく記述に修正</w:t>
      </w:r>
    </w:p>
    <w:p>
      <w:pPr>
        <w:numPr>
          <w:ilvl w:val="0"/>
          <w:numId w:val="1001"/>
        </w:numPr>
        <w:pStyle w:val="Compact"/>
      </w:pPr>
      <w:r>
        <w:t xml:space="preserve">Ic construction の上限値（seuil）を公式値に修正（集合住宅740、事務所980、教育施設900等。2025年値は810/770、Décret n°2024-1258で照合）</w:t>
      </w:r>
    </w:p>
    <w:p>
      <w:pPr>
        <w:numPr>
          <w:ilvl w:val="0"/>
          <w:numId w:val="1001"/>
        </w:numPr>
        <w:pStyle w:val="Compact"/>
      </w:pPr>
      <w:r>
        <w:t xml:space="preserve">RE2020の指標構造を正確化（規制指標はIc construction / Ic énergieの2本立て。StockCは貯蔵量を開示する情報提供指標であり減算クレジットではない）</w:t>
      </w:r>
    </w:p>
    <w:p>
      <w:pPr>
        <w:numPr>
          <w:ilvl w:val="0"/>
          <w:numId w:val="1001"/>
        </w:numPr>
        <w:pStyle w:val="Compact"/>
      </w:pPr>
      <w:r>
        <w:t xml:space="preserve">動的重み係数を一次資料で確定（排出年tの一次関数 1−0.00842t、t=50年で0.578。Benoist 2009博士論文 表IV.7由来、Arrêté第11条規定）</w:t>
      </w:r>
    </w:p>
    <w:p>
      <w:pPr>
        <w:numPr>
          <w:ilvl w:val="0"/>
          <w:numId w:val="1001"/>
        </w:numPr>
        <w:pStyle w:val="Compact"/>
      </w:pPr>
      <w:r>
        <w:t xml:space="preserve">主要文献の書誌を出版社・政府サイトで照合・確定（Ventura 2022、Benoist 2009、Rivaton 2025等）</w:t>
      </w:r>
    </w:p>
    <w:p>
      <w:pPr>
        <w:numPr>
          <w:ilvl w:val="0"/>
          <w:numId w:val="1001"/>
        </w:numPr>
        <w:pStyle w:val="Compact"/>
      </w:pPr>
      <w:r>
        <w:t xml:space="preserve">CLT数値例の内部整合（生物由来炭素量 約640 kgCO₂eq/m³、正味便益 約−270 kgCO₂eq/m³）</w:t>
      </w:r>
    </w:p>
    <w:p>
      <w:pPr>
        <w:numPr>
          <w:ilvl w:val="0"/>
          <w:numId w:val="1001"/>
        </w:numPr>
        <w:pStyle w:val="Compact"/>
      </w:pPr>
      <w:r>
        <w:t xml:space="preserve">各国比較を新設: 規制レベル（蘭・仏・瑞・丁・芬・EU）と自主・研究レベル（ノルウェーFutureBuilt ZERO、米国POD|LCA）の二層整理</w:t>
      </w:r>
    </w:p>
    <w:p>
      <w:pPr>
        <w:numPr>
          <w:ilvl w:val="0"/>
          <w:numId w:val="1001"/>
        </w:numPr>
        <w:pStyle w:val="Compact"/>
      </w:pPr>
      <w:r>
        <w:t xml:space="preserve">「動的LCA導入の是非——官僚的判断のための論点整理」を新設（支持論拠・反対論拠・5オプション・非導入が合理的となる条件）</w:t>
      </w:r>
    </w:p>
    <w:p>
      <w:pPr>
        <w:pStyle w:val="FirstParagraph"/>
      </w:pPr>
      <w:r>
        <w:rPr>
          <w:b/>
        </w:rPr>
        <w:t xml:space="preserve">本書の立場:</w:t>
      </w:r>
      <w:r>
        <w:t xml:space="preserve"> </w:t>
      </w:r>
      <w:r>
        <w:t xml:space="preserve">本書は日本への動的LCA導入を推奨も否定もしない。導入判断（導入すべきか、するなら何に注意すべきか、しないならどの代替手段か）に必要な事実・論点・選択肢を中立的に提供することを目的とする。</w:t>
      </w:r>
    </w:p>
    <w:p>
      <w:pPr>
        <w:pStyle w:val="BodyText"/>
      </w:pPr>
      <w:r>
        <w:rPr>
          <w:b/>
        </w:rPr>
        <w:t xml:space="preserve">構成:</w:t>
      </w:r>
    </w:p>
    <w:p>
      <w:pPr>
        <w:numPr>
          <w:ilvl w:val="0"/>
          <w:numId w:val="1002"/>
        </w:numPr>
        <w:pStyle w:val="Compact"/>
      </w:pPr>
      <w:r>
        <w:t xml:space="preserve">第1章 RE2020における建築物LCAの全体構造（調査項目①: No.1, 2, 3, 8）</w:t>
      </w:r>
    </w:p>
    <w:p>
      <w:pPr>
        <w:numPr>
          <w:ilvl w:val="0"/>
          <w:numId w:val="1002"/>
        </w:numPr>
        <w:pStyle w:val="Compact"/>
      </w:pPr>
      <w:r>
        <w:t xml:space="preserve">第2章 ダイナミックLCAの要件整理（調査項目②: No.9, 10, 11）</w:t>
      </w:r>
    </w:p>
    <w:p>
      <w:pPr>
        <w:numPr>
          <w:ilvl w:val="0"/>
          <w:numId w:val="1002"/>
        </w:numPr>
        <w:pStyle w:val="Compact"/>
      </w:pPr>
      <w:r>
        <w:t xml:space="preserve">第3章 生物由来炭素及び炭素貯蔵評価の制度的位置付け（調査項目③: No.12, 13, 14）</w:t>
      </w:r>
    </w:p>
    <w:p>
      <w:pPr>
        <w:numPr>
          <w:ilvl w:val="0"/>
          <w:numId w:val="1002"/>
        </w:numPr>
        <w:pStyle w:val="Compact"/>
      </w:pPr>
      <w:r>
        <w:t xml:space="preserve">第4章 制度導入の背景・検討プロセス・導入判断の論点整理（調査項目④: No.4, 5, 6, 7）</w:t>
      </w:r>
    </w:p>
    <w:p>
      <w:r>
        <w:pict>
          <v:rect style="width:0;height:1.5pt" o:hralign="center" o:hrstd="t" o:hr="t"/>
        </w:pict>
      </w:r>
    </w:p>
    <w:p>
      <w:pPr>
        <w:pStyle w:val="Heading1"/>
      </w:pPr>
      <w:bookmarkStart w:id="23" w:name="第1章-建築環境性能評価制度建築物lcaの全体構造"/>
      <w:r>
        <w:t xml:space="preserve">第1章 建築環境性能評価制度（建築物LCA）の全体構造</w:t>
      </w:r>
      <w:bookmarkEnd w:id="23"/>
    </w:p>
    <w:p>
      <w:pPr>
        <w:pStyle w:val="FirstParagraph"/>
      </w:pPr>
      <w:r>
        <w:rPr>
          <w:b/>
        </w:rPr>
        <w:t xml:space="preserve">作成係:</w:t>
      </w:r>
      <w:r>
        <w:t xml:space="preserve"> </w:t>
      </w:r>
      <w:r>
        <w:t xml:space="preserve">第1係（政策・制度調査）／</w:t>
      </w:r>
      <w:r>
        <w:rPr>
          <w:b/>
        </w:rPr>
        <w:t xml:space="preserve">担当タスク:</w:t>
      </w:r>
      <w:r>
        <w:t xml:space="preserve"> </w:t>
      </w:r>
      <w:r>
        <w:t xml:space="preserve">No.1（ア）, No.2（イ）, No.3（ウ）, No.8（エ）</w:t>
      </w:r>
    </w:p>
    <w:p>
      <w:r>
        <w:pict>
          <v:rect style="width:0;height:1.5pt" o:hralign="center" o:hrstd="t" o:hr="t"/>
        </w:pict>
      </w:r>
    </w:p>
    <w:p>
      <w:pPr>
        <w:pStyle w:val="Heading2"/>
      </w:pPr>
      <w:bookmarkStart w:id="24" w:name="エグゼクティブサマリーkey-findings"/>
      <w:r>
        <w:t xml:space="preserve">エグゼクティブサマリー（Key Findings）</w:t>
      </w:r>
      <w:bookmarkEnd w:id="24"/>
    </w:p>
    <w:p>
      <w:pPr>
        <w:pStyle w:val="BlockText"/>
      </w:pPr>
      <w:r>
        <w:rPr>
          <w:b/>
        </w:rPr>
        <w:t xml:space="preserve">想定読者:</w:t>
      </w:r>
      <w:r>
        <w:t xml:space="preserve"> </w:t>
      </w:r>
      <w:r>
        <w:t xml:space="preserve">林野庁担当者・意思決定者（LCA専門家でない方も対象）</w:t>
      </w:r>
    </w:p>
    <w:p>
      <w:pPr>
        <w:pStyle w:val="FirstParagraph"/>
      </w:pPr>
      <w:r>
        <w:t xml:space="preserve">本調査（調査項目①）は、フランスRE2020が「建築物のライフサイクル全体の炭素排出を法律で評価・管理する世界初の制度」であることを確認し、その構造・評価方法・国際規格との関係・サーキュラーエコノミー政策との接続を体系的に整理したものである。</w:t>
      </w:r>
    </w:p>
    <w:p>
      <w:r>
        <w:pict>
          <v:rect style="width:0;height:1.5pt" o:hralign="center" o:hrstd="t" o:hr="t"/>
        </w:pict>
      </w:r>
    </w:p>
    <w:p>
      <w:pPr>
        <w:pStyle w:val="Heading3"/>
      </w:pPr>
      <w:bookmarkStart w:id="25" w:name="中心命題なぜフランスは動的lcaでなければならなかったのか"/>
      <w:r>
        <w:t xml:space="preserve">【中心命題】なぜフランスは動的LCAでなければならなかったのか</w:t>
      </w:r>
      <w:bookmarkEnd w:id="25"/>
    </w:p>
    <w:p>
      <w:pPr>
        <w:pStyle w:val="BlockText"/>
      </w:pPr>
      <w:r>
        <w:t xml:space="preserve">フランスのRE2020は「先進的政策への意欲」から生まれたのではない。</w:t>
      </w:r>
      <w:r>
        <w:rPr>
          <w:b/>
        </w:rPr>
        <w:t xml:space="preserve">既存の評価ツール（静的GWP100）が物理的に誤った答えを出し続けていた</w:t>
      </w:r>
      <w:r>
        <w:t xml:space="preserve">ことへの、科学的・政策的・産業的な修正要求が15年かけて収束した結果である。</w:t>
      </w:r>
    </w:p>
    <w:p>
      <w:pPr>
        <w:pStyle w:val="FirstParagraph"/>
      </w:pPr>
      <w:r>
        <w:rPr>
          <w:b/>
        </w:rPr>
        <w:t xml:space="preserve">静的GWP100の構造的失敗（全Key Findingの前提）:</w:t>
      </w:r>
    </w:p>
    <w:p>
      <w:pPr>
        <w:pStyle w:val="BodyText"/>
      </w:pPr>
      <w:r>
        <w:t xml:space="preserve">静的LCAは「今日の1kgCO₂ ≡ 50年後の1kgCO₂」という前提に立つ。この前提のもとでは、木材建材は吸収（t=0）と排出（t=50年）が打ち消し合い</w:t>
      </w:r>
      <w:r>
        <w:rPr>
          <w:b/>
        </w:rPr>
        <w:t xml:space="preserve">正味ゼロ</w:t>
      </w:r>
      <w:r>
        <w:t xml:space="preserve">と評価される——コンクリートと同じ結論が出る。</w:t>
      </w:r>
    </w:p>
    <w:p>
      <w:pPr>
        <w:pStyle w:val="BodyText"/>
      </w:pPr>
      <w:r>
        <w:t xml:space="preserve">しかし物理的に正しい答えは：50年後に放出したCO₂は、今日放出したCO₂より</w:t>
      </w:r>
      <w:r>
        <w:rPr>
          <w:b/>
        </w:rPr>
        <w:t xml:space="preserve">42%少ない累積気候影響</w:t>
      </w:r>
      <w:r>
        <w:t xml:space="preserve">しか与えない（IPCC AR4 Bern2.5CCモデル）。木材の50年間の炭素貯蔵は</w:t>
      </w:r>
      <w:r>
        <w:rPr>
          <w:b/>
        </w:rPr>
        <w:t xml:space="preserve">実在する気候便益</w:t>
      </w:r>
      <w:r>
        <w:t xml:space="preserve">であり、静的LCAはそれを計測できないツールであった。</w:t>
      </w:r>
    </w:p>
    <w:p>
      <w:pPr>
        <w:pStyle w:val="BodyText"/>
      </w:pPr>
      <w:r>
        <w:t xml:space="preserve">動的LCA（RE2020）はこの誤りを修正し、CLTの評価を +98 →</w:t>
      </w:r>
      <w:r>
        <w:t xml:space="preserve"> </w:t>
      </w:r>
      <w:r>
        <w:rPr>
          <w:b/>
        </w:rPr>
        <w:t xml:space="preserve">−171 kgCO₂eq/m³</w:t>
      </w:r>
      <w:r>
        <w:t xml:space="preserve">（排出→吸収）に逆転させる。これが「なぜ動的LCAか」の核心である。</w:t>
      </w:r>
    </w:p>
    <w:p>
      <w:r>
        <w:pict>
          <v:rect style="width:0;height:1.5pt" o:hralign="center" o:hrstd="t" o:hr="t"/>
        </w:pict>
      </w:r>
    </w:p>
    <w:p>
      <w:pPr>
        <w:pStyle w:val="FirstParagraph"/>
      </w:pPr>
      <w:r>
        <w:rPr>
          <w:b/>
        </w:rPr>
        <w:t xml:space="preserve">Key Finding 1 — RE2020は炭素指標（Ic construction / Ic énergie）を新設し、動的LCAを世界で初めて規制化</w:t>
      </w:r>
      <w:r>
        <w:br/>
      </w:r>
      <w:r>
        <w:t xml:space="preserve">従来の熱性能規制（RT2012）にライフサイクルGHG指標を追加。排出タイミングに応じて線形に逓減する重み係数（</w:t>
      </w:r>
      <m:oMath>
        <m:r>
          <m:t>t</m:t>
        </m:r>
        <m:r>
          <m:t>=</m:t>
        </m:r>
        <m:r>
          <m:t>0</m:t>
        </m:r>
      </m:oMath>
      <w:r>
        <w:t xml:space="preserve"> </w:t>
      </w:r>
      <w:r>
        <w:t xml:space="preserve">で1.000、</w:t>
      </w:r>
      <m:oMath>
        <m:r>
          <m:t>t</m:t>
        </m:r>
        <m:r>
          <m:t>=</m:t>
        </m:r>
        <m:r>
          <m:t>50</m:t>
        </m:r>
      </m:oMath>
      <w:r>
        <w:t xml:space="preserve"> </w:t>
      </w:r>
      <w:r>
        <w:t xml:space="preserve">年で0.578）を適用し、木材の炭素貯蔵を定量的に制度評価に組み込んだ。これは「補助金」ではなく「正確な計測への移行」としてフランスは制度化した。</w:t>
      </w:r>
    </w:p>
    <w:p>
      <w:pPr>
        <w:pStyle w:val="BodyText"/>
      </w:pPr>
      <w:r>
        <w:rPr>
          <w:b/>
        </w:rPr>
        <w:t xml:space="preserve">Key Finding 2 — 住宅・非住宅を段階的に義務化。2031年まで4フェーズで厳格化</w:t>
      </w:r>
      <w:r>
        <w:br/>
      </w:r>
      <w:r>
        <w:t xml:space="preserve">2022年1月の住宅施行から始まり、2031年には現状比約35%削減（類型により30〜40%）を目標とする段階的制度設計を採用。実証プログラム（E+C-）の実証データ（公開データベース登録 約830事業）が基盤となった。</w:t>
      </w:r>
      <w:r>
        <w:rPr>
          <w:b/>
        </w:rPr>
        <w:t xml:space="preserve">seuil値（例：戸建住宅 640 kgCO₂eq/m²、集合住宅 740 kgCO₂eq/m²）は実証データから導出された。</w:t>
      </w:r>
    </w:p>
    <w:p>
      <w:pPr>
        <w:pStyle w:val="BodyText"/>
      </w:pPr>
      <w:r>
        <w:rPr>
          <w:b/>
        </w:rPr>
        <w:t xml:space="preserve">Key Finding 3 — EU標準（Level(s)/EN 15978）の「先行実装」として国際的に機能</w:t>
      </w:r>
      <w:r>
        <w:br/>
      </w:r>
      <w:r>
        <w:t xml:space="preserve">RE2020はEPBD 2024改正でEU全域WLC義務化のモデルケースとして参照される。動的バイオジェニック炭素評価の国際標準化（CEN/TC 350でのEN 15978改訂議論等）においても、フランスは唯一の規制運用実績を持つ国として影響力を持つ。</w:t>
      </w:r>
      <w:r>
        <w:rPr>
          <w:b/>
        </w:rPr>
        <w:t xml:space="preserve">「先に制度を持つ国が国際規格の議論を主導する」という戦略的計算がある。</w:t>
      </w:r>
    </w:p>
    <w:p>
      <w:pPr>
        <w:pStyle w:val="BodyText"/>
      </w:pPr>
      <w:r>
        <w:rPr>
          <w:b/>
        </w:rPr>
        <w:t xml:space="preserve">Key Finding 4 — 日本の制度設計に向けた最優先課題は「時間地平の合意」「データ基盤整備」「国際標準化議論への早期参画」の3点</w:t>
      </w:r>
      <w:r>
        <w:br/>
      </w:r>
      <w:r>
        <w:t xml:space="preserve">これらが未整備なまま「動的LCA導入」を語ることはできない。フランスは実証10年を経て規制化したことを銘記すべきである。</w:t>
      </w:r>
      <w:r>
        <w:rPr>
          <w:b/>
        </w:rPr>
        <w:t xml:space="preserve">日本では静的GWP100の同じ失敗が現在進行中であり、国産CLTが「排出材」と評価されている。</w:t>
      </w:r>
    </w:p>
    <w:p>
      <w:r>
        <w:pict>
          <v:rect style="width:0;height:1.5pt" o:hralign="center" o:hrstd="t" o:hr="t"/>
        </w:pict>
      </w:r>
    </w:p>
    <w:p>
      <w:pPr>
        <w:pStyle w:val="Heading2"/>
      </w:pPr>
      <w:bookmarkStart w:id="26" w:name="目次"/>
      <w:r>
        <w:t xml:space="preserve">目次</w:t>
      </w:r>
      <w:bookmarkEnd w:id="26"/>
    </w:p>
    <w:p>
      <w:pPr>
        <w:numPr>
          <w:ilvl w:val="0"/>
          <w:numId w:val="1003"/>
        </w:numPr>
        <w:pStyle w:val="Compact"/>
      </w:pPr>
      <w:hyperlink w:anchor="Xc1078ccddd87db5a72f0a9d1e2114483ca64b35">
        <w:r>
          <w:rPr>
            <w:rStyle w:val="Hyperlink"/>
          </w:rPr>
          <w:t xml:space="preserve">RE2020における建築物LCAの位置付け（No.1）</w:t>
        </w:r>
      </w:hyperlink>
    </w:p>
    <w:p>
      <w:pPr>
        <w:numPr>
          <w:ilvl w:val="0"/>
          <w:numId w:val="1003"/>
        </w:numPr>
        <w:pStyle w:val="Compact"/>
      </w:pPr>
      <w:hyperlink w:anchor="X0e6512e84ee8c7b77fb7e21212477680d246d2f">
        <w:r>
          <w:rPr>
            <w:rStyle w:val="Hyperlink"/>
          </w:rPr>
          <w:t xml:space="preserve">環境性能評価方法（No.2）</w:t>
        </w:r>
      </w:hyperlink>
    </w:p>
    <w:p>
      <w:pPr>
        <w:numPr>
          <w:ilvl w:val="0"/>
          <w:numId w:val="1003"/>
        </w:numPr>
        <w:pStyle w:val="Compact"/>
      </w:pPr>
      <w:hyperlink w:anchor="X9382ad68ecca54831e022ce4adeadb3c8cae503">
        <w:r>
          <w:rPr>
            <w:rStyle w:val="Hyperlink"/>
          </w:rPr>
          <w:t xml:space="preserve">Level(s)及びEN 15978との関係性（No.3）</w:t>
        </w:r>
      </w:hyperlink>
    </w:p>
    <w:p>
      <w:pPr>
        <w:numPr>
          <w:ilvl w:val="0"/>
          <w:numId w:val="1003"/>
        </w:numPr>
        <w:pStyle w:val="Compact"/>
      </w:pPr>
      <w:hyperlink w:anchor="X0c39d9563abaea584bf7eb80b70feffa7a957dd">
        <w:r>
          <w:rPr>
            <w:rStyle w:val="Hyperlink"/>
          </w:rPr>
          <w:t xml:space="preserve">サーキュラーエコノミー施策との関係性（No.8）</w:t>
        </w:r>
      </w:hyperlink>
    </w:p>
    <w:p>
      <w:pPr>
        <w:numPr>
          <w:ilvl w:val="0"/>
          <w:numId w:val="1003"/>
        </w:numPr>
        <w:pStyle w:val="Compact"/>
      </w:pPr>
      <w:hyperlink w:anchor="X293b1eec5ebd7fec61d5edbf5016cc30a8723be">
        <w:r>
          <w:rPr>
            <w:rStyle w:val="Hyperlink"/>
          </w:rPr>
          <w:t xml:space="preserve">総合考察と日本への示唆</w:t>
        </w:r>
      </w:hyperlink>
    </w:p>
    <w:p>
      <w:pPr>
        <w:numPr>
          <w:ilvl w:val="0"/>
          <w:numId w:val="1003"/>
        </w:numPr>
        <w:pStyle w:val="Compact"/>
      </w:pPr>
      <w:hyperlink w:anchor="X33484096c7b1a7dd74f5bcdc5dccd862236eee6">
        <w:r>
          <w:rPr>
            <w:rStyle w:val="Hyperlink"/>
          </w:rPr>
          <w:t xml:space="preserve">参考文献</w:t>
        </w:r>
      </w:hyperlink>
    </w:p>
    <w:p>
      <w:r>
        <w:pict>
          <v:rect style="width:0;height:1.5pt" o:hralign="center" o:hrstd="t" o:hr="t"/>
        </w:pict>
      </w:r>
    </w:p>
    <w:p>
      <w:pPr>
        <w:pStyle w:val="Heading2"/>
      </w:pPr>
      <w:bookmarkStart w:id="27" w:name="re2020における建築物lcaの位置付け"/>
      <w:r>
        <w:t xml:space="preserve">1. RE2020における建築物LCAの位置付け</w:t>
      </w:r>
      <w:bookmarkEnd w:id="27"/>
    </w:p>
    <w:p>
      <w:pPr>
        <w:pStyle w:val="BlockText"/>
      </w:pPr>
      <w:r>
        <w:rPr>
          <w:b/>
        </w:rPr>
        <w:t xml:space="preserve">本節で分かること:</w:t>
      </w:r>
      <w:r>
        <w:t xml:space="preserve"> </w:t>
      </w:r>
      <w:r>
        <w:t xml:space="preserve">RE2020がRT2012から何を追加し、誰が所管し、なぜ「炭素指標Ic」が世界初なのか。</w:t>
      </w:r>
    </w:p>
    <w:p>
      <w:pPr>
        <w:pStyle w:val="Heading3"/>
      </w:pPr>
      <w:bookmarkStart w:id="28" w:name="re2020の法的制度的位置づけ"/>
      <w:r>
        <w:t xml:space="preserve">1.1 RE2020の法的・制度的位置づけ</w:t>
      </w:r>
      <w:bookmarkEnd w:id="28"/>
    </w:p>
    <w:p>
      <w:pPr>
        <w:pStyle w:val="FirstParagraph"/>
      </w:pPr>
      <w:r>
        <w:rPr>
          <w:b/>
        </w:rPr>
        <w:t xml:space="preserve">RE2020（Réglementation Environnementale 2020）</w:t>
      </w:r>
      <w:r>
        <w:t xml:space="preserve">は、2021年7月29日付フランス政令（Décret n°2021-1004）および施行令（Arrêté du 4 août 2021）に基づき、フランス国内の新築建築物に対して</w:t>
      </w:r>
      <w:r>
        <w:rPr>
          <w:b/>
        </w:rPr>
        <w:t xml:space="preserve">エネルギー性能と環境性能の双方を法的に義務づける</w:t>
      </w:r>
      <w:r>
        <w:t xml:space="preserve">建築環境規制である。RT2012（熱性能規制）の後継として施行された。エンボディド炭素を含む建築物LCAの法的義務化としてはオランダMPG（2018年〜）等の先行例があるが、</w:t>
      </w:r>
      <w:r>
        <w:rPr>
          <w:b/>
        </w:rPr>
        <w:t xml:space="preserve">動的LCA（排出タイミングの重み付け）を義務化した規制としては世界初</w:t>
      </w:r>
      <w:r>
        <w:t xml:space="preserve">である。</w:t>
      </w:r>
    </w:p>
    <w:p>
      <w:pPr>
        <w:pStyle w:val="BodyText"/>
      </w:pPr>
      <w:r>
        <w:t xml:space="preserve">所管は</w:t>
      </w:r>
      <w:r>
        <w:rPr>
          <w:b/>
        </w:rPr>
        <w:t xml:space="preserve">環境移行・住宅関連省のDGALN（自然・建築・土地整備総局）傘下のDHUP（住宅・都市計画局：Direction de l’Habitat, de l’Urbanisme et des Paysages）</w:t>
      </w:r>
      <w:r>
        <w:t xml:space="preserve">であり、技術的根拠の整備はCSTB（建築科学技術センター）とCerema（環境・都市計画研究センター）が担った（DHUP, 2021; Cerema, 2024）。</w:t>
      </w:r>
    </w:p>
    <w:p>
      <w:pPr>
        <w:pStyle w:val="BodyText"/>
      </w:pPr>
      <w:r>
        <w:t xml:space="preserve">従来のRT2012が</w:t>
      </w:r>
      <w:r>
        <w:rPr>
          <w:b/>
        </w:rPr>
        <w:t xml:space="preserve">エネルギー消費のみ</w:t>
      </w:r>
      <w:r>
        <w:t xml:space="preserve">を評価対象としていたのに対し、RE2020では建物の</w:t>
      </w:r>
      <w:r>
        <w:rPr>
          <w:b/>
        </w:rPr>
        <w:t xml:space="preserve">ライフサイクル全体のGHG排出量（炭素指標</w:t>
      </w:r>
      <w:r>
        <w:rPr>
          <w:b/>
        </w:rPr>
        <w:t xml:space="preserve"> </w:t>
      </w:r>
      <m:oMath>
        <m:r>
          <m:t>I</m:t>
        </m:r>
        <m:sSub>
          <m:e>
            <m:r>
              <m:t>c</m:t>
            </m:r>
          </m:e>
          <m:sub>
            <m:r>
              <m:rPr>
                <m:nor/>
                <m:sty m:val="p"/>
              </m:rPr>
              <m:t>construction</m:t>
            </m:r>
          </m:sub>
        </m:sSub>
      </m:oMath>
      <w:r>
        <w:rPr>
          <w:b/>
        </w:rPr>
        <w:t xml:space="preserve">・</w:t>
      </w:r>
      <m:oMath>
        <m:r>
          <m:t>I</m:t>
        </m:r>
        <m:sSub>
          <m:e>
            <m:r>
              <m:t>c</m:t>
            </m:r>
          </m:e>
          <m:sub>
            <m:r>
              <m:rPr>
                <m:nor/>
                <m:sty m:val="p"/>
              </m:rPr>
              <m:t>énergie</m:t>
            </m:r>
          </m:sub>
        </m:sSub>
      </m:oMath>
      <w:r>
        <w:rPr>
          <w:b/>
        </w:rPr>
        <w:t xml:space="preserve">）</w:t>
      </w:r>
      <w:r>
        <w:t xml:space="preserve">が初めて法的拘束力を持つ性能指標に加えられた。これにより、運用エネルギー効率と</w:t>
      </w:r>
      <w:r>
        <w:rPr>
          <w:b/>
        </w:rPr>
        <w:t xml:space="preserve">エンボディド炭素（建材・施工・解体等に起因するGHG）</w:t>
      </w:r>
      <w:r>
        <w:t xml:space="preserve">の同時最適化が設計者・施主の義務となった。</w:t>
      </w:r>
    </w:p>
    <w:p>
      <w:pPr>
        <w:pStyle w:val="Heading3"/>
      </w:pPr>
      <w:bookmarkStart w:id="29" w:name="規制性能指標とその法的意味"/>
      <w:r>
        <w:t xml:space="preserve">1.2 規制性能指標とその法的意味</w:t>
      </w:r>
      <w:bookmarkEnd w:id="29"/>
    </w:p>
    <w:p>
      <w:pPr>
        <w:pStyle w:val="FirstParagraph"/>
      </w:pPr>
      <w:r>
        <w:rPr>
          <w:b/>
        </w:rPr>
        <w:t xml:space="preserve">なぜ複数指標が必要なのか—問題証明の構造:</w:t>
      </w:r>
      <w:r>
        <w:t xml:space="preserve"> </w:t>
      </w:r>
      <w:r>
        <w:t xml:space="preserve">RT2012はバイオクライマティック設計（Bbio）と一次エネルギー消費（Cep）しか規制していなかったため、膨大な建材起因の炭素排出（エンボディド炭素）が規制の外にあった。例えば、断熱材を大量に使って適合した建物がCepは改善するものの、断熱材製造で大量のGHGを発生させるというトレードオフが見えなかった。RE2020の指標体系はこの盲点を補完し、建物の熱設計・エネルギー・材料炭素を同時に最適化することを設計者に求める。</w:t>
      </w:r>
    </w:p>
    <w:p>
      <w:pPr>
        <w:pStyle w:val="BodyText"/>
      </w:pPr>
      <w:r>
        <w:t xml:space="preserve">RE2020は建物の性能を</w:t>
      </w:r>
      <w:r>
        <w:rPr>
          <w:b/>
        </w:rPr>
        <w:t xml:space="preserve">6つの規制指標</w:t>
      </w:r>
      <w:r>
        <w:t xml:space="preserve">（エネルギー：Bbio・Cep・Cep,nr、炭素：Ic construction・Ic énergie、夏季快適性：DH度・時）で評価し、各指標に対して用途区分・規模別の上限基準値（seuil）が法令上定められている（Arrêté 2021; Cerema, 2024, §4.2）。本報告書は炭素指標を中心に扱う。</w:t>
      </w:r>
    </w:p>
    <w:tbl>
      <w:tblPr>
        <w:tblStyle w:val="Table"/>
        <w:tblW w:type="pct" w:w="5000.0"/>
        <w:tblLook w:firstRow="1"/>
      </w:tblPr>
      <w:tblGrid>
        <w:gridCol w:w="1033"/>
        <w:gridCol w:w="1033"/>
        <w:gridCol w:w="1721"/>
        <w:gridCol w:w="4132"/>
      </w:tblGrid>
      <w:tr>
        <w:trPr>
          <w:cnfStyle w:firstRow="1"/>
        </w:trPr>
        <w:tc>
          <w:tcPr>
            <w:tcBorders>
              <w:bottom w:val="single"/>
            </w:tcBorders>
            <w:vAlign w:val="bottom"/>
          </w:tcPr>
          <w:p>
            <w:pPr>
              <w:pStyle w:val="Compact"/>
              <w:jc w:val="left"/>
            </w:pPr>
            <w:r>
              <w:t xml:space="preserve">指標</w:t>
            </w:r>
          </w:p>
        </w:tc>
        <w:tc>
          <w:tcPr>
            <w:tcBorders>
              <w:bottom w:val="single"/>
            </w:tcBorders>
            <w:vAlign w:val="bottom"/>
          </w:tcPr>
          <w:p>
            <w:pPr>
              <w:pStyle w:val="Compact"/>
              <w:jc w:val="left"/>
            </w:pPr>
            <w:r>
              <w:t xml:space="preserve">単位</w:t>
            </w:r>
          </w:p>
        </w:tc>
        <w:tc>
          <w:tcPr>
            <w:tcBorders>
              <w:bottom w:val="single"/>
            </w:tcBorders>
            <w:vAlign w:val="bottom"/>
          </w:tcPr>
          <w:p>
            <w:pPr>
              <w:pStyle w:val="Compact"/>
              <w:jc w:val="left"/>
            </w:pPr>
            <w:r>
              <w:t xml:space="preserve">評価対象</w:t>
            </w:r>
          </w:p>
        </w:tc>
        <w:tc>
          <w:tcPr>
            <w:tcBorders>
              <w:bottom w:val="single"/>
            </w:tcBorders>
            <w:vAlign w:val="bottom"/>
          </w:tcPr>
          <w:p>
            <w:pPr>
              <w:pStyle w:val="Compact"/>
              <w:jc w:val="left"/>
            </w:pPr>
            <w:r>
              <w:t xml:space="preserve">前規制（RT2012）との関係</w:t>
            </w:r>
          </w:p>
        </w:tc>
      </w:tr>
      <w:tr>
        <w:tc>
          <w:p>
            <w:pPr>
              <w:pStyle w:val="Compact"/>
              <w:jc w:val="left"/>
            </w:pPr>
            <w:r>
              <w:rPr>
                <w:b/>
              </w:rPr>
              <w:t xml:space="preserve">Bbio</w:t>
            </w:r>
          </w:p>
        </w:tc>
        <w:tc>
          <w:p>
            <w:pPr>
              <w:pStyle w:val="Compact"/>
              <w:jc w:val="left"/>
            </w:pPr>
            <w:r>
              <w:t xml:space="preserve">—（ポイント）</w:t>
            </w:r>
          </w:p>
        </w:tc>
        <w:tc>
          <w:p>
            <w:pPr>
              <w:pStyle w:val="Compact"/>
              <w:jc w:val="left"/>
            </w:pPr>
            <w:r>
              <w:t xml:space="preserve">建物の断熱・日照・通風設計に起因する冷暖房・照明需要</w:t>
            </w:r>
          </w:p>
        </w:tc>
        <w:tc>
          <w:p>
            <w:pPr>
              <w:pStyle w:val="Compact"/>
              <w:jc w:val="left"/>
            </w:pPr>
            <w:r>
              <w:t xml:space="preserve">RT2012より基準値を強化（約30%削減）</w:t>
            </w:r>
          </w:p>
        </w:tc>
      </w:tr>
      <w:tr>
        <w:tc>
          <w:p>
            <w:pPr>
              <w:pStyle w:val="Compact"/>
              <w:jc w:val="left"/>
            </w:pPr>
            <w:r>
              <w:rPr>
                <w:b/>
              </w:rPr>
              <w:t xml:space="preserve">Cep / Cep,nr</w:t>
            </w:r>
          </w:p>
        </w:tc>
        <w:tc>
          <w:p>
            <w:pPr>
              <w:pStyle w:val="Compact"/>
              <w:jc w:val="left"/>
            </w:pPr>
            <w:r>
              <w:t xml:space="preserve">kWh/m²/yr</w:t>
            </w:r>
          </w:p>
        </w:tc>
        <w:tc>
          <w:p>
            <w:pPr>
              <w:pStyle w:val="Compact"/>
              <w:jc w:val="left"/>
            </w:pPr>
            <w:r>
              <w:t xml:space="preserve">一次エネルギー（Cep）・非再生可能一次エネルギー（Cep,nr）の年間消費量</w:t>
            </w:r>
          </w:p>
        </w:tc>
        <w:tc>
          <w:p>
            <w:pPr>
              <w:pStyle w:val="Compact"/>
              <w:jc w:val="left"/>
            </w:pPr>
            <w:r>
              <w:t xml:space="preserve">RT2012と同系統の継続指標（Cep,nrは新設）</w:t>
            </w:r>
          </w:p>
        </w:tc>
      </w:tr>
      <w:tr>
        <w:tc>
          <w:p>
            <w:pPr>
              <w:pStyle w:val="Compact"/>
              <w:jc w:val="left"/>
            </w:pPr>
            <w:r>
              <w:rPr>
                <w:b/>
              </w:rPr>
              <w:t xml:space="preserve">Ic construction</w:t>
            </w:r>
          </w:p>
        </w:tc>
        <w:tc>
          <w:p>
            <w:pPr>
              <w:pStyle w:val="Compact"/>
              <w:jc w:val="left"/>
            </w:pPr>
            <w:r>
              <w:t xml:space="preserve">kgCO₂eq/m²</w:t>
            </w:r>
          </w:p>
        </w:tc>
        <w:tc>
          <w:p>
            <w:pPr>
              <w:pStyle w:val="Compact"/>
              <w:jc w:val="left"/>
            </w:pPr>
            <w:r>
              <w:t xml:space="preserve">建材・施工（A1–A5, B1–B5, C1–C4）のライフサイクルGHG（動的LCA重み付け済み）</w:t>
            </w:r>
          </w:p>
        </w:tc>
        <w:tc>
          <w:p>
            <w:pPr>
              <w:pStyle w:val="Compact"/>
              <w:jc w:val="left"/>
            </w:pPr>
            <w:r>
              <w:rPr>
                <w:b/>
              </w:rPr>
              <w:t xml:space="preserve">新設指標</w:t>
            </w:r>
            <w:r>
              <w:t xml:space="preserve">。動的LCAの世界初の法定義務化</w:t>
            </w:r>
          </w:p>
        </w:tc>
      </w:tr>
      <w:tr>
        <w:tc>
          <w:p>
            <w:pPr>
              <w:pStyle w:val="Compact"/>
              <w:jc w:val="left"/>
            </w:pPr>
            <w:r>
              <w:rPr>
                <w:b/>
              </w:rPr>
              <w:t xml:space="preserve">Ic énergie</w:t>
            </w:r>
          </w:p>
        </w:tc>
        <w:tc>
          <w:p>
            <w:pPr>
              <w:pStyle w:val="Compact"/>
              <w:jc w:val="left"/>
            </w:pPr>
            <w:r>
              <w:t xml:space="preserve">kgCO₂eq/m²</w:t>
            </w:r>
          </w:p>
        </w:tc>
        <w:tc>
          <w:p>
            <w:pPr>
              <w:pStyle w:val="Compact"/>
              <w:jc w:val="left"/>
            </w:pPr>
            <w:r>
              <w:t xml:space="preserve">運用エネルギー（B6）のライフサイクルGHG（動的LCA重み付け済み）</w:t>
            </w:r>
          </w:p>
        </w:tc>
        <w:tc>
          <w:p>
            <w:pPr>
              <w:pStyle w:val="Compact"/>
              <w:jc w:val="left"/>
            </w:pPr>
            <w:r>
              <w:rPr>
                <w:b/>
              </w:rPr>
              <w:t xml:space="preserve">新設指標</w:t>
            </w:r>
          </w:p>
        </w:tc>
      </w:tr>
      <w:tr>
        <w:tc>
          <w:p>
            <w:pPr>
              <w:pStyle w:val="Compact"/>
              <w:jc w:val="left"/>
            </w:pPr>
            <w:r>
              <w:rPr>
                <w:b/>
              </w:rPr>
              <w:t xml:space="preserve">DH（夏季快適性）</w:t>
            </w:r>
          </w:p>
        </w:tc>
        <w:tc>
          <w:p>
            <w:pPr>
              <w:pStyle w:val="Compact"/>
              <w:jc w:val="left"/>
            </w:pPr>
            <w:r>
              <w:t xml:space="preserve">度・時</w:t>
            </w:r>
          </w:p>
        </w:tc>
        <w:tc>
          <w:p>
            <w:pPr>
              <w:pStyle w:val="Compact"/>
              <w:jc w:val="left"/>
            </w:pPr>
            <w:r>
              <w:t xml:space="preserve">夏季の不快時間（degrés-heures）</w:t>
            </w:r>
          </w:p>
        </w:tc>
        <w:tc>
          <w:p>
            <w:pPr>
              <w:pStyle w:val="Compact"/>
              <w:jc w:val="left"/>
            </w:pPr>
            <w:r>
              <w:rPr>
                <w:b/>
              </w:rPr>
              <w:t xml:space="preserve">新設指標</w:t>
            </w:r>
            <w:r>
              <w:t xml:space="preserve">（本報告書では対象外）</w:t>
            </w:r>
          </w:p>
        </w:tc>
      </w:tr>
    </w:tbl>
    <w:p>
      <w:pPr>
        <w:pStyle w:val="BodyText"/>
      </w:pPr>
      <w:r>
        <w:t xml:space="preserve">このほか、</w:t>
      </w:r>
      <w:r>
        <w:rPr>
          <w:b/>
        </w:rPr>
        <w:t xml:space="preserve">情報提供指標（indicateurs informatifs）</w:t>
      </w:r>
      <w:r>
        <w:t xml:space="preserve">として</w:t>
      </w:r>
      <w:r>
        <w:t xml:space="preserve"> </w:t>
      </w:r>
      <m:oMath>
        <m:r>
          <m:t>I</m:t>
        </m:r>
        <m:sSub>
          <m:e>
            <m:r>
              <m:t>c</m:t>
            </m:r>
          </m:e>
          <m:sub>
            <m:r>
              <m:rPr>
                <m:nor/>
                <m:sty m:val="p"/>
              </m:rPr>
              <m:t>bâtiment</m:t>
            </m:r>
          </m:sub>
        </m:sSub>
      </m:oMath>
      <w:r>
        <w:t xml:space="preserve">（4コントリビュータ〔建材・施工/工事/エネルギー/水〕の合計）、</w:t>
      </w:r>
      <m:oMath>
        <m:r>
          <m:t>I</m:t>
        </m:r>
        <m:sSub>
          <m:e>
            <m:r>
              <m:t>c</m:t>
            </m:r>
          </m:e>
          <m:sub>
            <m:r>
              <m:rPr>
                <m:nor/>
                <m:sty m:val="p"/>
              </m:rPr>
              <m:t>ded</m:t>
            </m:r>
          </m:sub>
        </m:sSub>
      </m:oMath>
      <w:r>
        <w:t xml:space="preserve">、</w:t>
      </w:r>
      <w:r>
        <w:rPr>
          <w:b/>
        </w:rPr>
        <w:t xml:space="preserve">StockC（建物中の生物由来炭素貯蔵量、単位 kg C/m²）</w:t>
      </w:r>
      <w:r>
        <w:t xml:space="preserve">が算出・申告される。</w:t>
      </w:r>
    </w:p>
    <w:p>
      <w:pPr>
        <w:pStyle w:val="BlockText"/>
      </w:pPr>
      <w:r>
        <w:rPr>
          <w:b/>
        </w:rPr>
        <w:t xml:space="preserve">⚠️ 制度構造の重要な注意:</w:t>
      </w:r>
      <w:r>
        <w:t xml:space="preserve"> </w:t>
      </w:r>
      <w:r>
        <w:t xml:space="preserve">本報告書の旧版では「</w:t>
      </w:r>
      <m:oMath>
        <m:r>
          <m:t>I</m:t>
        </m:r>
        <m:r>
          <m:t>c</m:t>
        </m:r>
        <m:r>
          <m:t>=</m:t>
        </m:r>
        <m:r>
          <m:t>I</m:t>
        </m:r>
        <m:sSub>
          <m:e>
            <m:r>
              <m:t>c</m:t>
            </m:r>
          </m:e>
          <m:sub>
            <m:r>
              <m:rPr>
                <m:nor/>
                <m:sty m:val="p"/>
              </m:rPr>
              <m:t>construction</m:t>
            </m:r>
          </m:sub>
        </m:sSub>
        <m:r>
          <m:t>+</m:t>
        </m:r>
        <m:r>
          <m:t>I</m:t>
        </m:r>
        <m:sSub>
          <m:e>
            <m:r>
              <m:t>c</m:t>
            </m:r>
          </m:e>
          <m:sub>
            <m:r>
              <m:rPr>
                <m:nor/>
                <m:sty m:val="p"/>
              </m:rPr>
              <m:t>énergie</m:t>
            </m:r>
          </m:sub>
        </m:sSub>
        <m:r>
          <m:t>−</m:t>
        </m:r>
        <m:r>
          <m:t>S</m:t>
        </m:r>
        <m:r>
          <m:t>t</m:t>
        </m:r>
        <m:r>
          <m:t>o</m:t>
        </m:r>
        <m:r>
          <m:t>c</m:t>
        </m:r>
        <m:r>
          <m:t>k</m:t>
        </m:r>
        <m:r>
          <m:t>C</m:t>
        </m:r>
      </m:oMath>
      <w:r>
        <w:t xml:space="preserve">」という式を掲載していたが、これは</w:t>
      </w:r>
      <w:r>
        <w:rPr>
          <w:b/>
        </w:rPr>
        <w:t xml:space="preserve">誤り</w:t>
      </w:r>
      <w:r>
        <w:t xml:space="preserve">である。RE2020の規制判定は Ic construction と Ic énergie が</w:t>
      </w:r>
      <w:r>
        <w:rPr>
          <w:b/>
        </w:rPr>
        <w:t xml:space="preserve">それぞれ別個の seuil</w:t>
      </w:r>
      <w:r>
        <w:t xml:space="preserve"> </w:t>
      </w:r>
      <w:r>
        <w:t xml:space="preserve">と照合される構造であり、</w:t>
      </w:r>
      <w:r>
        <w:rPr>
          <w:b/>
        </w:rPr>
        <w:t xml:space="preserve">StockC は規制値から減算されるクレジットではなく、貯蔵量を開示する情報提供指標</w:t>
      </w:r>
      <w:r>
        <w:t xml:space="preserve">である。木材の便益は、動的LCAの重み係数（吸収</w:t>
      </w:r>
      <w:r>
        <w:t xml:space="preserve"> </w:t>
      </w:r>
      <m:oMath>
        <m:r>
          <m:t>t</m:t>
        </m:r>
        <m:r>
          <m:t>=</m:t>
        </m:r>
        <m:r>
          <m:t>0</m:t>
        </m:r>
      </m:oMath>
      <w:r>
        <w:t xml:space="preserve"> </w:t>
      </w:r>
      <w:r>
        <w:t xml:space="preserve">で1.000、放出</w:t>
      </w:r>
      <w:r>
        <w:t xml:space="preserve"> </w:t>
      </w:r>
      <m:oMath>
        <m:r>
          <m:t>t</m:t>
        </m:r>
        <m:r>
          <m:t>=</m:t>
        </m:r>
        <m:r>
          <m:t>50</m:t>
        </m:r>
      </m:oMath>
      <w:r>
        <w:t xml:space="preserve"> </w:t>
      </w:r>
      <w:r>
        <w:t xml:space="preserve">年で0.578）が</w:t>
      </w:r>
      <w:r>
        <w:t xml:space="preserve"> </w:t>
      </w:r>
      <w:r>
        <w:rPr>
          <w:b/>
        </w:rPr>
        <w:t xml:space="preserve">Ic construction の計算内部</w:t>
      </w:r>
      <w:r>
        <w:t xml:space="preserve">で適用されることによって生じる（§1.5）。</w:t>
      </w:r>
    </w:p>
    <w:p>
      <w:pPr>
        <w:pStyle w:val="FirstParagraph"/>
      </w:pPr>
      <w:r>
        <w:rPr>
          <w:b/>
        </w:rPr>
        <w:t xml:space="preserve">建物種類別・フェーズ別</w:t>
      </w:r>
      <w:r>
        <w:rPr>
          <w:b/>
        </w:rPr>
        <w:t xml:space="preserve"> </w:t>
      </w:r>
      <m:oMath>
        <m:r>
          <m:t>I</m:t>
        </m:r>
        <m:sSub>
          <m:e>
            <m:r>
              <m:t>c</m:t>
            </m:r>
          </m:e>
          <m:sub>
            <m:r>
              <m:rPr>
                <m:nor/>
                <m:sty m:val="p"/>
              </m:rPr>
              <m:t>construction</m:t>
            </m:r>
          </m:sub>
        </m:sSub>
      </m:oMath>
      <w:r>
        <w:rPr>
          <w:b/>
        </w:rPr>
        <w:t xml:space="preserve"> </w:t>
      </w:r>
      <w:r>
        <w:rPr>
          <w:b/>
        </w:rPr>
        <w:t xml:space="preserve">上限値（seuil）の公式値</w:t>
      </w:r>
      <w:r>
        <w:t xml:space="preserve">（単位：kgCO₂eq/m²、基準値〔valeur pivot〕。実際は面積・気候ゾーン等で個別修正される）：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建物種別</w:t>
            </w:r>
          </w:p>
        </w:tc>
        <w:tc>
          <w:tcPr>
            <w:tcBorders>
              <w:bottom w:val="single"/>
            </w:tcBorders>
            <w:vAlign w:val="bottom"/>
          </w:tcPr>
          <w:p>
            <w:pPr>
              <w:pStyle w:val="Compact"/>
              <w:jc w:val="left"/>
            </w:pPr>
            <w:r>
              <w:t xml:space="preserve">フェーズ1（2022）</w:t>
            </w:r>
          </w:p>
        </w:tc>
        <w:tc>
          <w:tcPr>
            <w:tcBorders>
              <w:bottom w:val="single"/>
            </w:tcBorders>
            <w:vAlign w:val="bottom"/>
          </w:tcPr>
          <w:p>
            <w:pPr>
              <w:pStyle w:val="Compact"/>
              <w:jc w:val="left"/>
            </w:pPr>
            <w:r>
              <w:t xml:space="preserve">フェーズ2（2025）</w:t>
            </w:r>
          </w:p>
        </w:tc>
        <w:tc>
          <w:tcPr>
            <w:tcBorders>
              <w:bottom w:val="single"/>
            </w:tcBorders>
            <w:vAlign w:val="bottom"/>
          </w:tcPr>
          <w:p>
            <w:pPr>
              <w:pStyle w:val="Compact"/>
              <w:jc w:val="left"/>
            </w:pPr>
            <w:r>
              <w:t xml:space="preserve">フェーズ3（2028）</w:t>
            </w:r>
          </w:p>
        </w:tc>
        <w:tc>
          <w:tcPr>
            <w:tcBorders>
              <w:bottom w:val="single"/>
            </w:tcBorders>
            <w:vAlign w:val="bottom"/>
          </w:tcPr>
          <w:p>
            <w:pPr>
              <w:pStyle w:val="Compact"/>
              <w:jc w:val="left"/>
            </w:pPr>
            <w:r>
              <w:t xml:space="preserve">フェーズ4（2031）</w:t>
            </w:r>
          </w:p>
        </w:tc>
      </w:tr>
      <w:tr>
        <w:tc>
          <w:p>
            <w:pPr>
              <w:pStyle w:val="Compact"/>
              <w:jc w:val="left"/>
            </w:pPr>
            <w:r>
              <w:rPr>
                <w:b/>
              </w:rPr>
              <w:t xml:space="preserve">戸建住宅</w:t>
            </w:r>
            <w:r>
              <w:t xml:space="preserve">（MI）</w:t>
            </w:r>
          </w:p>
        </w:tc>
        <w:tc>
          <w:p>
            <w:pPr>
              <w:pStyle w:val="Compact"/>
              <w:jc w:val="left"/>
            </w:pPr>
            <w:r>
              <w:rPr>
                <w:b/>
              </w:rPr>
              <w:t xml:space="preserve">640</w:t>
            </w:r>
          </w:p>
        </w:tc>
        <w:tc>
          <w:p>
            <w:pPr>
              <w:pStyle w:val="Compact"/>
              <w:jc w:val="left"/>
            </w:pPr>
            <w:r>
              <w:t xml:space="preserve">530</w:t>
            </w:r>
          </w:p>
        </w:tc>
        <w:tc>
          <w:p>
            <w:pPr>
              <w:pStyle w:val="Compact"/>
              <w:jc w:val="left"/>
            </w:pPr>
            <w:r>
              <w:t xml:space="preserve">475</w:t>
            </w:r>
          </w:p>
        </w:tc>
        <w:tc>
          <w:p>
            <w:pPr>
              <w:pStyle w:val="Compact"/>
              <w:jc w:val="left"/>
            </w:pPr>
            <w:r>
              <w:t xml:space="preserve">415</w:t>
            </w:r>
          </w:p>
        </w:tc>
      </w:tr>
      <w:tr>
        <w:tc>
          <w:p>
            <w:pPr>
              <w:pStyle w:val="Compact"/>
              <w:jc w:val="left"/>
            </w:pPr>
            <w:r>
              <w:rPr>
                <w:b/>
              </w:rPr>
              <w:t xml:space="preserve">集合住宅</w:t>
            </w:r>
            <w:r>
              <w:t xml:space="preserve">（LC）</w:t>
            </w:r>
          </w:p>
        </w:tc>
        <w:tc>
          <w:p>
            <w:pPr>
              <w:pStyle w:val="Compact"/>
              <w:jc w:val="left"/>
            </w:pPr>
            <w:r>
              <w:rPr>
                <w:b/>
              </w:rPr>
              <w:t xml:space="preserve">740</w:t>
            </w:r>
          </w:p>
        </w:tc>
        <w:tc>
          <w:p>
            <w:pPr>
              <w:pStyle w:val="Compact"/>
              <w:jc w:val="left"/>
            </w:pPr>
            <w:r>
              <w:t xml:space="preserve">650</w:t>
            </w:r>
          </w:p>
        </w:tc>
        <w:tc>
          <w:p>
            <w:pPr>
              <w:pStyle w:val="Compact"/>
              <w:jc w:val="left"/>
            </w:pPr>
            <w:r>
              <w:t xml:space="preserve">580</w:t>
            </w:r>
          </w:p>
        </w:tc>
        <w:tc>
          <w:p>
            <w:pPr>
              <w:pStyle w:val="Compact"/>
              <w:jc w:val="left"/>
            </w:pPr>
            <w:r>
              <w:t xml:space="preserve">490</w:t>
            </w:r>
          </w:p>
        </w:tc>
      </w:tr>
      <w:tr>
        <w:tc>
          <w:p>
            <w:pPr>
              <w:pStyle w:val="Compact"/>
              <w:jc w:val="left"/>
            </w:pPr>
            <w:r>
              <w:rPr>
                <w:b/>
              </w:rPr>
              <w:t xml:space="preserve">事務所</w:t>
            </w:r>
            <w:r>
              <w:t xml:space="preserve">（bureaux）</w:t>
            </w:r>
          </w:p>
        </w:tc>
        <w:tc>
          <w:p>
            <w:pPr>
              <w:pStyle w:val="Compact"/>
              <w:jc w:val="left"/>
            </w:pPr>
            <w:r>
              <w:rPr>
                <w:b/>
              </w:rPr>
              <w:t xml:space="preserve">980</w:t>
            </w:r>
          </w:p>
        </w:tc>
        <w:tc>
          <w:p>
            <w:pPr>
              <w:pStyle w:val="Compact"/>
              <w:jc w:val="left"/>
            </w:pPr>
            <w:r>
              <w:t xml:space="preserve">段階引き下げ（原文照合中）</w:t>
            </w:r>
          </w:p>
        </w:tc>
        <w:tc>
          <w:p>
            <w:pPr>
              <w:pStyle w:val="Compact"/>
              <w:jc w:val="left"/>
            </w:pPr>
            <w:r>
              <w:t xml:space="preserve">同左</w:t>
            </w:r>
          </w:p>
        </w:tc>
        <w:tc>
          <w:p>
            <w:pPr>
              <w:pStyle w:val="Compact"/>
              <w:jc w:val="left"/>
            </w:pPr>
            <w:r>
              <w:t xml:space="preserve">同左</w:t>
            </w:r>
          </w:p>
        </w:tc>
      </w:tr>
      <w:tr>
        <w:tc>
          <w:p>
            <w:pPr>
              <w:pStyle w:val="Compact"/>
              <w:jc w:val="left"/>
            </w:pPr>
            <w:r>
              <w:rPr>
                <w:b/>
              </w:rPr>
              <w:t xml:space="preserve">初等中等教育施設</w:t>
            </w:r>
            <w:r>
              <w:t xml:space="preserve">（enseignement）</w:t>
            </w:r>
          </w:p>
        </w:tc>
        <w:tc>
          <w:p>
            <w:pPr>
              <w:pStyle w:val="Compact"/>
              <w:jc w:val="left"/>
            </w:pPr>
            <w:r>
              <w:rPr>
                <w:b/>
              </w:rPr>
              <w:t xml:space="preserve">900</w:t>
            </w:r>
          </w:p>
        </w:tc>
        <w:tc>
          <w:p>
            <w:pPr>
              <w:pStyle w:val="Compact"/>
              <w:jc w:val="left"/>
            </w:pPr>
            <w:r>
              <w:t xml:space="preserve">段階引き下げ（原文照合中）</w:t>
            </w:r>
          </w:p>
        </w:tc>
        <w:tc>
          <w:p>
            <w:pPr>
              <w:pStyle w:val="Compact"/>
              <w:jc w:val="left"/>
            </w:pPr>
            <w:r>
              <w:t xml:space="preserve">同左</w:t>
            </w:r>
          </w:p>
        </w:tc>
        <w:tc>
          <w:p>
            <w:pPr>
              <w:pStyle w:val="Compact"/>
              <w:jc w:val="left"/>
            </w:pPr>
            <w:r>
              <w:t xml:space="preserve">同左</w:t>
            </w:r>
          </w:p>
        </w:tc>
      </w:tr>
    </w:tbl>
    <w:p>
      <w:pPr>
        <w:pStyle w:val="BlockText"/>
      </w:pPr>
      <w:r>
        <w:rPr>
          <w:b/>
        </w:rPr>
        <w:t xml:space="preserve">⚠️ 出典・数値の留保:</w:t>
      </w:r>
      <w:r>
        <w:t xml:space="preserve"> </w:t>
      </w:r>
      <w:r>
        <w:t xml:space="preserve">基準値は Arrêté du 4 août 2021, Annexe II（戸建・集合住宅）および Décret/Arrêté du 1er mars 2022（事務所・教育施設）による。実際の seuil は</w:t>
      </w:r>
      <w:r>
        <w:rPr>
          <w:b/>
        </w:rPr>
        <w:t xml:space="preserve">気候ゾーン・延床面積・階数・FDESのデータ品質</w:t>
      </w:r>
      <w:r>
        <w:t xml:space="preserve">等の modulation により個別に定められており一律値ではない。ホテル・商業施設等のその他第三次産業用途はフェーズ1時点ではRE2020の対象外（後続デクレで段階的に追加）。2025年以降の数値は Rivaton 報告書（2025）を受けた調整の可能性があり、最新のテキスト確認が必要。集合住宅（740）が戸建（640）より高い理由は、共用設備・地下駐車場等の付帯施設に起因する炭素排出が大きいためである。</w:t>
      </w:r>
    </w:p>
    <w:p>
      <w:pPr>
        <w:pStyle w:val="Heading3"/>
      </w:pPr>
      <w:bookmarkStart w:id="30" w:name="lcaの対象範囲と建物引渡しを-t0とする時間設定"/>
      <w:r>
        <w:t xml:space="preserve">1.3 LCAの対象範囲と「建物引渡しを</w:t>
      </w:r>
      <w:r>
        <w:t xml:space="preserve"> </w:t>
      </w:r>
      <m:oMath>
        <m:r>
          <m:t>t</m:t>
        </m:r>
        <m:r>
          <m:t>=</m:t>
        </m:r>
        <m:r>
          <m:t>0</m:t>
        </m:r>
      </m:oMath>
      <w:r>
        <w:t xml:space="preserve">」とする時間設定</w:t>
      </w:r>
      <w:bookmarkEnd w:id="30"/>
    </w:p>
    <w:p>
      <w:pPr>
        <w:pStyle w:val="FirstParagraph"/>
      </w:pPr>
      <w:r>
        <w:t xml:space="preserve">RE2020の建物LCAは</w:t>
      </w:r>
      <w:r>
        <w:rPr>
          <w:b/>
        </w:rPr>
        <w:t xml:space="preserve">建物引渡し（livraison）を時刻</w:t>
      </w:r>
      <w:r>
        <w:rPr>
          <w:b/>
        </w:rPr>
        <w:t xml:space="preserve"> </w:t>
      </w:r>
      <m:oMath>
        <m:r>
          <m:t>t</m:t>
        </m:r>
        <m:r>
          <m:t>=</m:t>
        </m:r>
        <m:r>
          <m:t>0</m:t>
        </m:r>
      </m:oMath>
      <w:r>
        <w:t xml:space="preserve">として設定する。これは動的LCA評価の時間起点として重要な設計決定である。実務上の意味を以下に示す：</w:t>
      </w:r>
    </w:p>
    <w:p>
      <w:pPr>
        <w:numPr>
          <w:ilvl w:val="0"/>
          <w:numId w:val="1004"/>
        </w:numPr>
        <w:pStyle w:val="Compact"/>
      </w:pPr>
      <w:r>
        <w:rPr>
          <w:b/>
        </w:rPr>
        <w:t xml:space="preserve">施工段階の扱い：</w:t>
      </w:r>
      <w:r>
        <w:t xml:space="preserve"> </w:t>
      </w:r>
      <w:r>
        <w:t xml:space="preserve">建物引渡しを</w:t>
      </w:r>
      <m:oMath>
        <m:r>
          <m:t>t</m:t>
        </m:r>
        <m:r>
          <m:t>=</m:t>
        </m:r>
        <m:r>
          <m:t>0</m:t>
        </m:r>
      </m:oMath>
      <w:r>
        <w:t xml:space="preserve">と設定するため、動的LCA補正の時間に建設施工期間（A4-A5）は</w:t>
      </w:r>
      <w:r>
        <w:rPr>
          <w:b/>
        </w:rPr>
        <w:t xml:space="preserve">含まれない</w:t>
      </w:r>
      <w:r>
        <w:t xml:space="preserve">。すなわち、建設工事中の排出は動的割引なし（即時計上）となり、引渡後の排出のみ割引される。</w:t>
      </w:r>
    </w:p>
    <w:p>
      <w:pPr>
        <w:numPr>
          <w:ilvl w:val="0"/>
          <w:numId w:val="1004"/>
        </w:numPr>
        <w:pStyle w:val="Compact"/>
      </w:pPr>
      <w:r>
        <w:rPr>
          <w:b/>
        </w:rPr>
        <w:t xml:space="preserve">全体の時間軸：</w:t>
      </w:r>
      <w:r>
        <w:t xml:space="preserve"> </w:t>
      </w:r>
      <m:oMath>
        <m:r>
          <m:t>t</m:t>
        </m:r>
        <m:r>
          <m:t>=</m:t>
        </m:r>
        <m:r>
          <m:t>0</m:t>
        </m:r>
      </m:oMath>
      <w:r>
        <w:t xml:space="preserve">（引渡し）からDO=100年（評価終年、すなわち建物引渡しから100年後）までを観測期間とする。</w:t>
      </w:r>
    </w:p>
    <w:p>
      <w:pPr>
        <w:numPr>
          <w:ilvl w:val="0"/>
          <w:numId w:val="1004"/>
        </w:numPr>
        <w:pStyle w:val="Compact"/>
      </w:pPr>
      <w:r>
        <w:rPr>
          <w:b/>
        </w:rPr>
        <w:t xml:space="preserve">設計耐用年数：</w:t>
      </w:r>
      <w:r>
        <w:t xml:space="preserve"> </w:t>
      </w:r>
      <w:r>
        <w:t xml:space="preserve">標準的な評価基準期間は50年と想定され、これがバイオジェニック炭素の放出タイミング</w:t>
      </w:r>
      <w:r>
        <w:t xml:space="preserve"> </w:t>
      </w:r>
      <m:oMath>
        <m:sSub>
          <m:e>
            <m:r>
              <m:t>t</m:t>
            </m:r>
          </m:e>
          <m:sub>
            <m:r>
              <m:rPr>
                <m:nor/>
                <m:sty m:val="p"/>
              </m:rPr>
              <m:t>EoL</m:t>
            </m:r>
          </m:sub>
        </m:sSub>
        <m:r>
          <m:t>=</m:t>
        </m:r>
        <m:r>
          <m:t>50</m:t>
        </m:r>
      </m:oMath>
      <w:r>
        <w:t xml:space="preserve"> </w:t>
      </w:r>
      <w:r>
        <w:t xml:space="preserve">年の標準設定となる。</w:t>
      </w:r>
    </w:p>
    <w:p>
      <w:pPr>
        <w:pStyle w:val="FirstParagraph"/>
      </w:pPr>
      <w:r>
        <w:t xml:space="preserve">評価は</w:t>
      </w:r>
      <w:r>
        <w:rPr>
          <w:b/>
        </w:rPr>
        <w:t xml:space="preserve">EN 15978（建物ライフサイクル評価計算方法）</w:t>
      </w:r>
      <w:r>
        <w:t xml:space="preserve">に準拠したモジュール構造を採用しており（詳細は §3）、建物全体の機能的単位（m²・50年）を基準に算出される。</w:t>
      </w:r>
    </w:p>
    <w:p>
      <w:pPr>
        <w:pStyle w:val="Heading3"/>
      </w:pPr>
      <w:bookmarkStart w:id="31" w:name="ライフサイクルモジュール構造en-15978準拠"/>
      <w:r>
        <w:t xml:space="preserve">1.4 ライフサイクルモジュール構造（EN 15978準拠）</w:t>
      </w:r>
      <w:bookmarkEnd w:id="31"/>
    </w:p>
    <w:p>
      <w:pPr>
        <w:pStyle w:val="BlockText"/>
      </w:pPr>
      <w:r>
        <w:rPr>
          <w:b/>
        </w:rPr>
        <w:t xml:space="preserve">なぜモジュール構造が必要か:</w:t>
      </w:r>
      <w:r>
        <w:t xml:space="preserve"> </w:t>
      </w:r>
      <w:r>
        <w:t xml:space="preserve">建物の「いつ・どこで」炭素が排出・吸収されるかを正確に把握しなければ、動的LCAの「タイミング補正」は適用できない。EN 15978のモジュール構造はこの時系列マッピングの基盤となる。</w:t>
      </w:r>
    </w:p>
    <w:p>
      <w:pPr>
        <w:pStyle w:val="FirstParagraph"/>
      </w:pPr>
      <w:r>
        <w:t xml:space="preserve">RE2020において評価されるライフサイクルモジュールは以下の通り（Cerema, 2024, §1.3; EN 15978, 2011）。</w:t>
      </w:r>
    </w:p>
    <w:tbl>
      <w:tblPr>
        <w:tblStyle w:val="Table"/>
        <w:tblW w:type="pct" w:w="5000.0"/>
        <w:tblLook w:firstRow="1"/>
      </w:tblPr>
      <w:tblGrid>
        <w:gridCol w:w="1708"/>
        <w:gridCol w:w="1552"/>
        <w:gridCol w:w="2018"/>
        <w:gridCol w:w="2640"/>
      </w:tblGrid>
      <w:tr>
        <w:trPr>
          <w:cnfStyle w:firstRow="1"/>
        </w:trPr>
        <w:tc>
          <w:tcPr>
            <w:tcBorders>
              <w:bottom w:val="single"/>
            </w:tcBorders>
            <w:vAlign w:val="bottom"/>
          </w:tcPr>
          <w:p>
            <w:pPr>
              <w:pStyle w:val="Compact"/>
              <w:jc w:val="left"/>
            </w:pPr>
            <w:r>
              <w:t xml:space="preserve">モジュール</w:t>
            </w:r>
          </w:p>
        </w:tc>
        <w:tc>
          <w:tcPr>
            <w:tcBorders>
              <w:bottom w:val="single"/>
            </w:tcBorders>
            <w:vAlign w:val="bottom"/>
          </w:tcPr>
          <w:p>
            <w:pPr>
              <w:pStyle w:val="Compact"/>
              <w:jc w:val="left"/>
            </w:pPr>
            <w:r>
              <w:t xml:space="preserve">ステージ</w:t>
            </w:r>
          </w:p>
        </w:tc>
        <w:tc>
          <w:tcPr>
            <w:tcBorders>
              <w:bottom w:val="single"/>
            </w:tcBorders>
            <w:vAlign w:val="bottom"/>
          </w:tcPr>
          <w:p>
            <w:pPr>
              <w:pStyle w:val="Compact"/>
              <w:jc w:val="left"/>
            </w:pPr>
            <w:r>
              <w:t xml:space="preserve">主な算定対象</w:t>
            </w:r>
          </w:p>
        </w:tc>
        <w:tc>
          <w:tcPr>
            <w:tcBorders>
              <w:bottom w:val="single"/>
            </w:tcBorders>
            <w:vAlign w:val="bottom"/>
          </w:tcPr>
          <w:p>
            <w:pPr>
              <w:pStyle w:val="Compact"/>
              <w:jc w:val="left"/>
            </w:pPr>
            <w:r>
              <w:t xml:space="preserve">RE2020での取扱い</w:t>
            </w:r>
          </w:p>
        </w:tc>
      </w:tr>
      <w:tr>
        <w:tc>
          <w:p>
            <w:pPr>
              <w:pStyle w:val="Compact"/>
              <w:jc w:val="left"/>
            </w:pPr>
            <w:r>
              <w:rPr>
                <w:b/>
              </w:rPr>
              <w:t xml:space="preserve">A1–A3</w:t>
            </w:r>
          </w:p>
        </w:tc>
        <w:tc>
          <w:p>
            <w:pPr>
              <w:pStyle w:val="Compact"/>
              <w:jc w:val="left"/>
            </w:pPr>
            <w:r>
              <w:t xml:space="preserve">製品段階</w:t>
            </w:r>
          </w:p>
        </w:tc>
        <w:tc>
          <w:p>
            <w:pPr>
              <w:pStyle w:val="Compact"/>
              <w:jc w:val="left"/>
            </w:pPr>
            <w:r>
              <w:t xml:space="preserve">原材料採取・輸送・製造</w:t>
            </w:r>
          </w:p>
        </w:tc>
        <w:tc>
          <w:p>
            <w:pPr>
              <w:pStyle w:val="Compact"/>
              <w:jc w:val="left"/>
            </w:pPr>
            <w:r>
              <w:t xml:space="preserve">必須計上（EPDまたはFDES参照）</w:t>
            </w:r>
          </w:p>
        </w:tc>
      </w:tr>
      <w:tr>
        <w:tc>
          <w:p>
            <w:pPr>
              <w:pStyle w:val="Compact"/>
              <w:jc w:val="left"/>
            </w:pPr>
            <w:r>
              <w:rPr>
                <w:b/>
              </w:rPr>
              <w:t xml:space="preserve">A4–A5</w:t>
            </w:r>
          </w:p>
        </w:tc>
        <w:tc>
          <w:p>
            <w:pPr>
              <w:pStyle w:val="Compact"/>
              <w:jc w:val="left"/>
            </w:pPr>
            <w:r>
              <w:t xml:space="preserve">建設段階</w:t>
            </w:r>
          </w:p>
        </w:tc>
        <w:tc>
          <w:p>
            <w:pPr>
              <w:pStyle w:val="Compact"/>
              <w:jc w:val="left"/>
            </w:pPr>
            <w:r>
              <w:t xml:space="preserve">現場輸送・建設施工・廃棄</w:t>
            </w:r>
          </w:p>
        </w:tc>
        <w:tc>
          <w:p>
            <w:pPr>
              <w:pStyle w:val="Compact"/>
              <w:jc w:val="left"/>
            </w:pPr>
            <w:r>
              <w:t xml:space="preserve">必須計上</w:t>
            </w:r>
          </w:p>
        </w:tc>
      </w:tr>
      <w:tr>
        <w:tc>
          <w:p>
            <w:pPr>
              <w:pStyle w:val="Compact"/>
              <w:jc w:val="left"/>
            </w:pPr>
            <w:r>
              <w:rPr>
                <w:b/>
              </w:rPr>
              <w:t xml:space="preserve">B1–B5</w:t>
            </w:r>
          </w:p>
        </w:tc>
        <w:tc>
          <w:p>
            <w:pPr>
              <w:pStyle w:val="Compact"/>
              <w:jc w:val="left"/>
            </w:pPr>
            <w:r>
              <w:t xml:space="preserve">使用段階（材料）</w:t>
            </w:r>
          </w:p>
        </w:tc>
        <w:tc>
          <w:p>
            <w:pPr>
              <w:pStyle w:val="Compact"/>
              <w:jc w:val="left"/>
            </w:pPr>
            <w:r>
              <w:t xml:space="preserve">保守・修繕・改修・交換</w:t>
            </w:r>
          </w:p>
        </w:tc>
        <w:tc>
          <w:p>
            <w:pPr>
              <w:pStyle w:val="Compact"/>
              <w:jc w:val="left"/>
            </w:pPr>
            <w:r>
              <w:t xml:space="preserve">必須計上（B2~B5）</w:t>
            </w:r>
          </w:p>
        </w:tc>
      </w:tr>
      <w:tr>
        <w:tc>
          <w:p>
            <w:pPr>
              <w:pStyle w:val="Compact"/>
              <w:jc w:val="left"/>
            </w:pPr>
            <w:r>
              <w:rPr>
                <w:b/>
              </w:rPr>
              <w:t xml:space="preserve">B6</w:t>
            </w:r>
          </w:p>
        </w:tc>
        <w:tc>
          <w:p>
            <w:pPr>
              <w:pStyle w:val="Compact"/>
              <w:jc w:val="left"/>
            </w:pPr>
            <w:r>
              <w:t xml:space="preserve">使用段階（エネルギー）</w:t>
            </w:r>
          </w:p>
        </w:tc>
        <w:tc>
          <w:p>
            <w:pPr>
              <w:pStyle w:val="Compact"/>
              <w:jc w:val="left"/>
            </w:pPr>
            <w:r>
              <w:t xml:space="preserve">運用エネルギー消費</w:t>
            </w:r>
          </w:p>
        </w:tc>
        <w:tc>
          <w:p>
            <w:pPr>
              <w:pStyle w:val="Compact"/>
              <w:jc w:val="left"/>
            </w:pPr>
            <m:oMath>
              <m:r>
                <m:t>I</m:t>
              </m:r>
              <m:sSub>
                <m:e>
                  <m:r>
                    <m:t>c</m:t>
                  </m:r>
                </m:e>
                <m:sub>
                  <m:r>
                    <m:rPr>
                      <m:nor/>
                      <m:sty m:val="p"/>
                    </m:rPr>
                    <m:t>énergie</m:t>
                  </m:r>
                </m:sub>
              </m:sSub>
            </m:oMath>
            <w:r>
              <w:t xml:space="preserve">として別途計上</w:t>
            </w:r>
          </w:p>
        </w:tc>
      </w:tr>
      <w:tr>
        <w:tc>
          <w:p>
            <w:pPr>
              <w:pStyle w:val="Compact"/>
              <w:jc w:val="left"/>
            </w:pPr>
            <w:r>
              <w:rPr>
                <w:b/>
              </w:rPr>
              <w:t xml:space="preserve">B7</w:t>
            </w:r>
          </w:p>
        </w:tc>
        <w:tc>
          <w:p>
            <w:pPr>
              <w:pStyle w:val="Compact"/>
              <w:jc w:val="left"/>
            </w:pPr>
            <w:r>
              <w:t xml:space="preserve">使用段階（水）</w:t>
            </w:r>
          </w:p>
        </w:tc>
        <w:tc>
          <w:p>
            <w:pPr>
              <w:pStyle w:val="Compact"/>
              <w:jc w:val="left"/>
            </w:pPr>
            <w:r>
              <w:t xml:space="preserve">水消費・排水</w:t>
            </w:r>
          </w:p>
        </w:tc>
        <w:tc>
          <w:p>
            <w:pPr>
              <w:pStyle w:val="Compact"/>
              <w:jc w:val="left"/>
            </w:pPr>
            <w:r>
              <w:rPr>
                <w:b/>
              </w:rPr>
              <w:t xml:space="preserve">コントリビュータ「eau」として評価対象</w:t>
            </w:r>
            <w:r>
              <w:t xml:space="preserve">（</w:t>
            </w:r>
            <m:oMath>
              <m:r>
                <m:t>I</m:t>
              </m:r>
              <m:sSub>
                <m:e>
                  <m:r>
                    <m:t>c</m:t>
                  </m:r>
                </m:e>
                <m:sub>
                  <m:r>
                    <m:rPr>
                      <m:nor/>
                      <m:sty m:val="p"/>
                    </m:rPr>
                    <m:t>bâtiment</m:t>
                  </m:r>
                </m:sub>
              </m:sSub>
            </m:oMath>
            <w:r>
              <w:t xml:space="preserve">〔情報提供指標〕に算入。Ic construction/énergieのseuil判定には含まれない）</w:t>
            </w:r>
          </w:p>
        </w:tc>
      </w:tr>
      <w:tr>
        <w:tc>
          <w:p>
            <w:pPr>
              <w:pStyle w:val="Compact"/>
              <w:jc w:val="left"/>
            </w:pPr>
            <w:r>
              <w:rPr>
                <w:b/>
              </w:rPr>
              <w:t xml:space="preserve">C1–C4</w:t>
            </w:r>
          </w:p>
        </w:tc>
        <w:tc>
          <w:p>
            <w:pPr>
              <w:pStyle w:val="Compact"/>
              <w:jc w:val="left"/>
            </w:pPr>
            <w:r>
              <w:t xml:space="preserve">廃棄段階</w:t>
            </w:r>
          </w:p>
        </w:tc>
        <w:tc>
          <w:p>
            <w:pPr>
              <w:pStyle w:val="Compact"/>
              <w:jc w:val="left"/>
            </w:pPr>
            <w:r>
              <w:t xml:space="preserve">解体・輸送・廃棄物処理・最終処分</w:t>
            </w:r>
          </w:p>
        </w:tc>
        <w:tc>
          <w:p>
            <w:pPr>
              <w:pStyle w:val="Compact"/>
              <w:jc w:val="left"/>
            </w:pPr>
            <w:r>
              <w:t xml:space="preserve">必須計上</w:t>
            </w:r>
          </w:p>
        </w:tc>
      </w:tr>
      <w:tr>
        <w:tc>
          <w:p>
            <w:pPr>
              <w:pStyle w:val="Compact"/>
              <w:jc w:val="left"/>
            </w:pPr>
            <w:r>
              <w:rPr>
                <w:b/>
              </w:rPr>
              <w:t xml:space="preserve">D</w:t>
            </w:r>
          </w:p>
        </w:tc>
        <w:tc>
          <w:p>
            <w:pPr>
              <w:pStyle w:val="Compact"/>
              <w:jc w:val="left"/>
            </w:pPr>
            <w:r>
              <w:t xml:space="preserve">システム境界外</w:t>
            </w:r>
          </w:p>
        </w:tc>
        <w:tc>
          <w:p>
            <w:pPr>
              <w:pStyle w:val="Compact"/>
              <w:jc w:val="left"/>
            </w:pPr>
            <w:r>
              <w:t xml:space="preserve">再利用・リサイクル・エネルギー回収</w:t>
            </w:r>
          </w:p>
        </w:tc>
        <w:tc>
          <w:p>
            <w:pPr>
              <w:pStyle w:val="Compact"/>
              <w:jc w:val="left"/>
            </w:pPr>
            <w:r>
              <w:t xml:space="preserve">任意計上（正値・負値ともに計上可）</w:t>
            </w:r>
          </w:p>
        </w:tc>
      </w:tr>
      <w:tr>
        <w:tc>
          <w:p>
            <w:pPr>
              <w:pStyle w:val="Compact"/>
              <w:jc w:val="left"/>
            </w:pPr>
            <w:r>
              <w:rPr>
                <w:b/>
              </w:rPr>
              <w:t xml:space="preserve">StockC</w:t>
            </w:r>
          </w:p>
        </w:tc>
        <w:tc>
          <w:p>
            <w:pPr>
              <w:pStyle w:val="Compact"/>
              <w:jc w:val="left"/>
            </w:pPr>
            <w:r>
              <w:t xml:space="preserve">炭素貯蔵指標（RE2020独自）</w:t>
            </w:r>
          </w:p>
        </w:tc>
        <w:tc>
          <w:p>
            <w:pPr>
              <w:pStyle w:val="Compact"/>
              <w:jc w:val="left"/>
            </w:pPr>
            <w:r>
              <w:t xml:space="preserve">建物中の生物由来炭素貯蔵量（kg C/m²）</w:t>
            </w:r>
          </w:p>
        </w:tc>
        <w:tc>
          <w:p>
            <w:pPr>
              <w:pStyle w:val="Compact"/>
              <w:jc w:val="left"/>
            </w:pPr>
            <w:r>
              <w:rPr>
                <w:b/>
              </w:rPr>
              <w:t xml:space="preserve">情報提供指標として別途算出・開示</w:t>
            </w:r>
            <w:r>
              <w:t xml:space="preserve">（規制値からの減算ではない）</w:t>
            </w:r>
          </w:p>
        </w:tc>
      </w:tr>
    </w:tbl>
    <w:p>
      <w:pPr>
        <w:pStyle w:val="BodyText"/>
      </w:pPr>
      <w:r>
        <w:t xml:space="preserve">特筆すべきは</w:t>
      </w:r>
      <w:r>
        <w:t xml:space="preserve"> </w:t>
      </w:r>
      <m:oMath>
        <m:r>
          <m:t>S</m:t>
        </m:r>
        <m:r>
          <m:t>t</m:t>
        </m:r>
        <m:r>
          <m:t>o</m:t>
        </m:r>
        <m:r>
          <m:t>c</m:t>
        </m:r>
        <m:r>
          <m:t>k</m:t>
        </m:r>
        <m:r>
          <m:t>C</m:t>
        </m:r>
      </m:oMath>
      <w:r>
        <w:t xml:space="preserve"> </w:t>
      </w:r>
      <w:r>
        <w:t xml:space="preserve">指標がEN 15978の標準モジュール構造にない</w:t>
      </w:r>
      <w:r>
        <w:rPr>
          <w:b/>
        </w:rPr>
        <w:t xml:space="preserve">RE2020独自の拡張</w:t>
      </w:r>
      <w:r>
        <w:t xml:space="preserve">である点、および動的LCAの時間重み付けが全モジュールの排出量計算に組み込まれている点である。</w:t>
      </w:r>
    </w:p>
    <w:p>
      <w:pPr>
        <w:pStyle w:val="BodyText"/>
      </w:pPr>
      <w:r>
        <w:rPr>
          <w:b/>
        </w:rPr>
        <w:t xml:space="preserve">モジュール構造を踏まえると、なぜ動的補正が必要かが明確になる。</w:t>
      </w:r>
      <w:r>
        <w:t xml:space="preserve"> </w:t>
      </w:r>
      <w:r>
        <w:t xml:space="preserve">A1-A3で木材が炭素を固定する（即時クレジット）が、C4での焼却・分解時に炭素が放出される（50年後の排出）。この「固定は今、放出は50年後」という時間差は、全排出を</w:t>
      </w:r>
      <w:r>
        <w:t xml:space="preserve"> </w:t>
      </w:r>
      <m:oMath>
        <m:r>
          <m:t>t</m:t>
        </m:r>
        <m:r>
          <m:t>=</m:t>
        </m:r>
        <m:r>
          <m:t>0</m:t>
        </m:r>
      </m:oMath>
      <w:r>
        <w:t xml:space="preserve"> </w:t>
      </w:r>
      <w:r>
        <w:t xml:space="preserve">に集約する静的GWP100では評価できない。次節の動的補正係数がこの時間差を定量化する。</w:t>
      </w:r>
    </w:p>
    <w:p>
      <w:pPr>
        <w:pStyle w:val="Heading3"/>
      </w:pPr>
      <w:bookmarkStart w:id="32" w:name="動的lca重み係数と生物由来炭素の正味便益の算定"/>
      <w:r>
        <w:t xml:space="preserve">1.5 動的LCA重み係数と生物由来炭素の正味便益の算定</w:t>
      </w:r>
      <w:bookmarkEnd w:id="32"/>
    </w:p>
    <w:p>
      <w:pPr>
        <w:pStyle w:val="FirstParagraph"/>
      </w:pPr>
      <w:r>
        <w:t xml:space="preserve">RE2020の炭素評価の革新的点は、</w:t>
      </w:r>
      <w:r>
        <w:rPr>
          <w:b/>
        </w:rPr>
        <w:t xml:space="preserve">排出年に応じて線形に逓減する動的重み係数</w:t>
      </w:r>
      <w:r>
        <w:t xml:space="preserve">の採用にある（Arrêté du 4 août 2021, Annexe; Cerema, 2022）：</w:t>
      </w:r>
    </w:p>
    <w:p>
      <w:pPr>
        <w:pStyle w:val="BodyText"/>
      </w:pPr>
      <m:oMathPara>
        <m:oMathParaPr>
          <m:jc m:val="center"/>
        </m:oMathParaPr>
        <m:oMath>
          <m:r>
            <m:rPr>
              <m:nor/>
              <m:sty m:val="p"/>
            </m:rPr>
            <m:t>coefficient</m:t>
          </m:r>
          <m:r>
            <m:t>(</m:t>
          </m:r>
          <m:r>
            <m:t>t</m:t>
          </m:r>
          <m:r>
            <m:t>)</m:t>
          </m:r>
          <m:r>
            <m:t>=</m:t>
          </m:r>
          <m:d>
            <m:dPr>
              <m:begChr m:val="{"/>
              <m:endChr m:val=""/>
              <m:grow/>
            </m:dPr>
            <m:e>
              <m:m>
                <m:mPr>
                  <m:baseJc m:val="center"/>
                  <m:plcHide m:val="1"/>
                  <m:mcs>
                    <m:mc>
                      <m:mcPr>
                        <m:mcJc m:val="left"/>
                        <m:count m:val="1"/>
                      </m:mcPr>
                    </m:mc>
                    <m:mc>
                      <m:mcPr>
                        <m:mcJc m:val="left"/>
                        <m:count m:val="1"/>
                      </m:mcPr>
                    </m:mc>
                  </m:mcs>
                </m:mPr>
                <m:mr>
                  <m:e>
                    <m:r>
                      <m:t>1</m:t>
                    </m:r>
                    <m:r>
                      <m:t>−</m:t>
                    </m:r>
                    <m:r>
                      <m:t>0.00842</m:t>
                    </m:r>
                    <m:r>
                      <m:t>⋅</m:t>
                    </m:r>
                    <m:r>
                      <m:t>t</m:t>
                    </m:r>
                  </m:e>
                  <m:e>
                    <m:r>
                      <m:t>(</m:t>
                    </m:r>
                    <m:r>
                      <m:t>t</m:t>
                    </m:r>
                    <m:r>
                      <m:t>≤</m:t>
                    </m:r>
                    <m:r>
                      <m:t>50</m:t>
                    </m:r>
                    <m:r>
                      <m:rPr>
                        <m:nor/>
                        <m:sty m:val="p"/>
                      </m:rPr>
                      <m:t>年</m:t>
                    </m:r>
                    <m:r>
                      <m:t>)</m:t>
                    </m:r>
                  </m:e>
                </m:mr>
                <m:mr>
                  <m:e>
                    <m:r>
                      <m:t>0.578</m:t>
                    </m:r>
                  </m:e>
                  <m:e>
                    <m:r>
                      <m:t>(</m:t>
                    </m:r>
                    <m:r>
                      <m:t>t</m:t>
                    </m:r>
                    <m:r>
                      <m:t>&gt;</m:t>
                    </m:r>
                    <m:r>
                      <m:t>50</m:t>
                    </m:r>
                    <m:r>
                      <m:rPr>
                        <m:nor/>
                        <m:sty m:val="p"/>
                      </m:rPr>
                      <m:t>年</m:t>
                    </m:r>
                    <m:r>
                      <m:t>)</m:t>
                    </m:r>
                  </m:e>
                </m:mr>
              </m:m>
            </m:e>
          </m:d>
        </m:oMath>
      </m:oMathPara>
    </w:p>
    <w:p>
      <w:pPr>
        <w:pStyle w:val="FirstParagraph"/>
      </w:pPr>
      <w:r>
        <w:t xml:space="preserve">この係数は排出年</w:t>
      </w:r>
      <w:r>
        <w:t xml:space="preserve"> </w:t>
      </w:r>
      <m:oMath>
        <m:r>
          <m:t>t</m:t>
        </m:r>
      </m:oMath>
      <w:r>
        <w:t xml:space="preserve"> </w:t>
      </w:r>
      <w:r>
        <w:t xml:space="preserve">の</w:t>
      </w:r>
      <w:r>
        <w:rPr>
          <w:b/>
        </w:rPr>
        <w:t xml:space="preserve">一次関数（アフィン関数）</w:t>
      </w:r>
      <w:r>
        <w:t xml:space="preserve">である。公式資料の離散テーブル値：</w:t>
      </w:r>
      <m:oMath>
        <m:r>
          <m:t>t</m:t>
        </m:r>
        <m:r>
          <m:t>=</m:t>
        </m:r>
        <m:r>
          <m:t>0</m:t>
        </m:r>
      </m:oMath>
      <w:r>
        <w:t xml:space="preserve"> </w:t>
      </w:r>
      <w:r>
        <w:t xml:space="preserve">で</w:t>
      </w:r>
      <w:r>
        <w:t xml:space="preserve"> </w:t>
      </w:r>
      <w:r>
        <w:rPr>
          <w:b/>
        </w:rPr>
        <w:t xml:space="preserve">1.000</w:t>
      </w:r>
      <w:r>
        <w:t xml:space="preserve">、</w:t>
      </w:r>
      <m:oMath>
        <m:r>
          <m:t>t</m:t>
        </m:r>
        <m:r>
          <m:t>=</m:t>
        </m:r>
        <m:r>
          <m:t>1</m:t>
        </m:r>
      </m:oMath>
      <w:r>
        <w:t xml:space="preserve"> </w:t>
      </w:r>
      <w:r>
        <w:t xml:space="preserve">年で 0.992、</w:t>
      </w:r>
      <m:oMath>
        <m:r>
          <m:t>t</m:t>
        </m:r>
        <m:r>
          <m:t>=</m:t>
        </m:r>
        <m:r>
          <m:t>50</m:t>
        </m:r>
      </m:oMath>
      <w:r>
        <w:t xml:space="preserve"> </w:t>
      </w:r>
      <w:r>
        <w:t xml:space="preserve">年で</w:t>
      </w:r>
      <w:r>
        <w:t xml:space="preserve"> </w:t>
      </w:r>
      <w:r>
        <w:rPr>
          <w:b/>
        </w:rPr>
        <w:t xml:space="preserve">0.578</w:t>
      </w:r>
      <w:r>
        <w:t xml:space="preserve">（CO₂の場合。冷媒フロン類には別系列の係数で、</w:t>
      </w:r>
      <m:oMath>
        <m:r>
          <m:t>t</m:t>
        </m:r>
        <m:r>
          <m:t>=</m:t>
        </m:r>
        <m:r>
          <m:t>50</m:t>
        </m:r>
      </m:oMath>
      <w:r>
        <w:t xml:space="preserve"> </w:t>
      </w:r>
      <w:r>
        <w:t xml:space="preserve">で0.88）。係数の数値的源流は Benoist (2009) 博士論文の動的特性化値であり、これを線形回帰で近似した傾き −0.00842/年が、評価期間DO=100年で厳密な動的指標と一致するよう較正されている（Arrêté du 4 août 2021 第11条; Univ Gustave Eiffel ノート; Levasseur et al., 2010）。公式名称は「ACV dynamique simplifiée（簡易動的LCA）」。</w:t>
      </w:r>
    </w:p>
    <w:p>
      <w:pPr>
        <w:pStyle w:val="BodyText"/>
      </w:pPr>
      <w:r>
        <w:t xml:space="preserve">生物由来炭素の</w:t>
      </w:r>
      <w:r>
        <w:rPr>
          <w:b/>
        </w:rPr>
        <w:t xml:space="preserve">正味便益</w:t>
      </w:r>
      <w:r>
        <w:t xml:space="preserve">の発生メカニズム（Ic construction 計算の内部で適用）：</w:t>
      </w:r>
      <w:r>
        <w:t xml:space="preserve"> </w:t>
      </w:r>
      <w:r>
        <w:t xml:space="preserve">1. 各バイオジェニック炭素フローの排出タイミング</w:t>
      </w:r>
      <w:r>
        <w:t xml:space="preserve"> </w:t>
      </w:r>
      <m:oMath>
        <m:sSub>
          <m:e>
            <m:r>
              <m:t>t</m:t>
            </m:r>
          </m:e>
          <m:sub>
            <m:r>
              <m:t>i</m:t>
            </m:r>
          </m:sub>
        </m:sSub>
      </m:oMath>
      <w:r>
        <w:t xml:space="preserve"> </w:t>
      </w:r>
      <w:r>
        <w:t xml:space="preserve">を特定</w:t>
      </w:r>
      <w:r>
        <w:t xml:space="preserve"> </w:t>
      </w:r>
      <w:r>
        <w:t xml:space="preserve">2.</w:t>
      </w:r>
      <w:r>
        <w:t xml:space="preserve"> </w:t>
      </w:r>
      <m:oMath>
        <m:r>
          <m:rPr>
            <m:nor/>
            <m:sty m:val="p"/>
          </m:rPr>
          <m:t>coefficient</m:t>
        </m:r>
        <m:r>
          <m:t>(</m:t>
        </m:r>
        <m:sSub>
          <m:e>
            <m:r>
              <m:t>t</m:t>
            </m:r>
          </m:e>
          <m:sub>
            <m:r>
              <m:t>i</m:t>
            </m:r>
          </m:sub>
        </m:sSub>
        <m:r>
          <m:t>)</m:t>
        </m:r>
      </m:oMath>
      <w:r>
        <w:t xml:space="preserve"> </w:t>
      </w:r>
      <w:r>
        <w:t xml:space="preserve">を乗じて重み付けGHG当量を計算</w:t>
      </w:r>
      <w:r>
        <w:t xml:space="preserve"> </w:t>
      </w:r>
      <w:r>
        <w:t xml:space="preserve">3. A1-A3での固定（即時計上, coefficient = 1.000）と C段階での放出（coefficient = 0.578）の非対称性から正味の便益が生じる</w:t>
      </w:r>
    </w:p>
    <w:p>
      <w:pPr>
        <w:pStyle w:val="BodyText"/>
      </w:pPr>
      <w:r>
        <w:rPr>
          <w:b/>
        </w:rPr>
        <w:t xml:space="preserve">▶ 数値例：CLT 1 m³を建物に50年使用した場合（動的LCAでの正味便益の発生）</w:t>
      </w:r>
    </w:p>
    <w:tbl>
      <w:tblPr>
        <w:tblStyle w:val="Table"/>
        <w:tblW w:type="pct" w:w="0.0"/>
        <w:tblLook w:firstRow="1"/>
      </w:tblPr>
      <w:tblGrid/>
      <w:tr>
        <w:trPr>
          <w:cnfStyle w:firstRow="1"/>
        </w:trPr>
        <w:tc>
          <w:tcPr>
            <w:tcBorders>
              <w:bottom w:val="single"/>
            </w:tcBorders>
            <w:vAlign w:val="bottom"/>
          </w:tcPr>
          <w:p>
            <w:pPr>
              <w:pStyle w:val="Compact"/>
              <w:jc w:val="left"/>
            </w:pPr>
            <w:r>
              <w:t xml:space="preserve">炭素フロー</w:t>
            </w:r>
          </w:p>
        </w:tc>
        <w:tc>
          <w:tcPr>
            <w:tcBorders>
              <w:bottom w:val="single"/>
            </w:tcBorders>
            <w:vAlign w:val="bottom"/>
          </w:tcPr>
          <w:p>
            <w:pPr>
              <w:pStyle w:val="Compact"/>
              <w:jc w:val="left"/>
            </w:pPr>
            <w:r>
              <w:t xml:space="preserve">タイミング</w:t>
            </w:r>
            <w:r>
              <w:t xml:space="preserve"> </w:t>
            </w:r>
            <m:oMath>
              <m:r>
                <m:t>t</m:t>
              </m:r>
            </m:oMath>
          </w:p>
        </w:tc>
        <w:tc>
          <w:tcPr>
            <w:tcBorders>
              <w:bottom w:val="single"/>
            </w:tcBorders>
            <w:vAlign w:val="bottom"/>
          </w:tcPr>
          <w:p>
            <w:pPr>
              <w:pStyle w:val="Compact"/>
              <w:jc w:val="left"/>
            </w:pPr>
            <w:r>
              <w:t xml:space="preserve">炭素量</w:t>
            </w:r>
          </w:p>
        </w:tc>
        <w:tc>
          <w:tcPr>
            <w:tcBorders>
              <w:bottom w:val="single"/>
            </w:tcBorders>
            <w:vAlign w:val="bottom"/>
          </w:tcPr>
          <w:p>
            <w:pPr>
              <w:pStyle w:val="Compact"/>
              <w:jc w:val="left"/>
            </w:pPr>
            <w:r>
              <w:t xml:space="preserve">動的係数</w:t>
            </w:r>
          </w:p>
        </w:tc>
        <w:tc>
          <w:tcPr>
            <w:tcBorders>
              <w:bottom w:val="single"/>
            </w:tcBorders>
            <w:vAlign w:val="bottom"/>
          </w:tcPr>
          <w:p>
            <w:pPr>
              <w:pStyle w:val="Compact"/>
              <w:jc w:val="left"/>
            </w:pPr>
            <w:r>
              <w:t xml:space="preserve">重み付け後GHG当量</w:t>
            </w:r>
          </w:p>
        </w:tc>
      </w:tr>
      <w:tr>
        <w:tc>
          <w:p>
            <w:pPr>
              <w:pStyle w:val="Compact"/>
              <w:jc w:val="left"/>
            </w:pPr>
            <w:r>
              <w:t xml:space="preserve">バイオジェニック炭素固定（A1-A3）</w:t>
            </w:r>
          </w:p>
        </w:tc>
        <w:tc>
          <w:p>
            <w:pPr>
              <w:pStyle w:val="Compact"/>
              <w:jc w:val="left"/>
            </w:pPr>
            <m:oMath>
              <m:r>
                <m:t>t</m:t>
              </m:r>
              <m:r>
                <m:t>=</m:t>
              </m:r>
              <m:r>
                <m:t>0</m:t>
              </m:r>
            </m:oMath>
            <w:r>
              <w:t xml:space="preserve">（建設時）</w:t>
            </w:r>
          </w:p>
        </w:tc>
        <w:tc>
          <w:p>
            <w:pPr>
              <w:pStyle w:val="Compact"/>
              <w:jc w:val="left"/>
            </w:pPr>
            <w:r>
              <w:t xml:space="preserve">−640 kgCO₂eq</w:t>
            </w:r>
          </w:p>
        </w:tc>
        <w:tc>
          <w:p>
            <w:pPr>
              <w:pStyle w:val="Compact"/>
              <w:jc w:val="left"/>
            </w:pPr>
            <m:oMath>
              <m:r>
                <m:t>1.000</m:t>
              </m:r>
            </m:oMath>
          </w:p>
        </w:tc>
        <w:tc>
          <w:p>
            <w:pPr>
              <w:pStyle w:val="Compact"/>
              <w:jc w:val="left"/>
            </w:pPr>
            <w:r>
              <w:rPr>
                <w:b/>
              </w:rPr>
              <w:t xml:space="preserve">−640 kgCO₂eq</w:t>
            </w:r>
          </w:p>
        </w:tc>
      </w:tr>
      <w:tr>
        <w:tc>
          <w:p>
            <w:pPr>
              <w:pStyle w:val="Compact"/>
              <w:jc w:val="left"/>
            </w:pPr>
            <w:r>
              <w:t xml:space="preserve">解体焼却時の炭素放出（C4）</w:t>
            </w:r>
          </w:p>
        </w:tc>
        <w:tc>
          <w:p>
            <w:pPr>
              <w:pStyle w:val="Compact"/>
              <w:jc w:val="left"/>
            </w:pPr>
            <m:oMath>
              <m:r>
                <m:t>t</m:t>
              </m:r>
              <m:r>
                <m:t>=</m:t>
              </m:r>
              <m:r>
                <m:t>50</m:t>
              </m:r>
            </m:oMath>
            <w:r>
              <w:t xml:space="preserve"> </w:t>
            </w:r>
            <w:r>
              <w:t xml:space="preserve">年後</w:t>
            </w:r>
          </w:p>
        </w:tc>
        <w:tc>
          <w:p>
            <w:pPr>
              <w:pStyle w:val="Compact"/>
              <w:jc w:val="left"/>
            </w:pPr>
            <w:r>
              <w:t xml:space="preserve">+640 kgCO₂eq</w:t>
            </w:r>
          </w:p>
        </w:tc>
        <w:tc>
          <w:p>
            <w:pPr>
              <w:pStyle w:val="Compact"/>
              <w:jc w:val="left"/>
            </w:pPr>
            <m:oMath>
              <m:r>
                <m:t>0.578</m:t>
              </m:r>
            </m:oMath>
          </w:p>
        </w:tc>
        <w:tc>
          <w:p>
            <w:pPr>
              <w:pStyle w:val="Compact"/>
              <w:jc w:val="left"/>
            </w:pPr>
            <w:r>
              <w:rPr>
                <w:b/>
              </w:rPr>
              <w:t xml:space="preserve">+370 kgCO₂eq</w:t>
            </w:r>
          </w:p>
        </w:tc>
      </w:tr>
      <w:tr>
        <w:tc>
          <w:p>
            <w:pPr>
              <w:pStyle w:val="Compact"/>
              <w:jc w:val="left"/>
            </w:pPr>
            <w:r>
              <w:rPr>
                <w:b/>
              </w:rPr>
              <w:t xml:space="preserve">正味便益（Ic construction内で発現）</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−640 + 370 = −270 kgCO₂eq</w:t>
            </w:r>
          </w:p>
        </w:tc>
      </w:tr>
    </w:tbl>
    <w:p>
      <w:pPr>
        <w:pStyle w:val="BodyText"/>
      </w:pPr>
      <w:r>
        <w:t xml:space="preserve">解釈：CLT 1 m³は静的LCA（GWP100）では炭素フローが相殺されて実質ゼロ（</w:t>
      </w:r>
      <m:oMath>
        <m:r>
          <m:t>−</m:t>
        </m:r>
        <m:r>
          <m:t>1</m:t>
        </m:r>
        <m:r>
          <m:t>/</m:t>
        </m:r>
        <m:r>
          <m:t>+</m:t>
        </m:r>
        <m:r>
          <m:t>1</m:t>
        </m:r>
      </m:oMath>
      <w:r>
        <w:t xml:space="preserve"> </w:t>
      </w:r>
      <w:r>
        <w:t xml:space="preserve">アプローチ）だが、動的LCAでは50年後の排出が約42%割り引かれるため、正味</w:t>
      </w:r>
      <w:r>
        <w:t xml:space="preserve"> </w:t>
      </w:r>
      <w:r>
        <w:rPr>
          <w:b/>
        </w:rPr>
        <w:t xml:space="preserve">約−270 kgCO₂eq/m³</w:t>
      </w:r>
      <w:r>
        <w:t xml:space="preserve"> </w:t>
      </w:r>
      <w:r>
        <w:t xml:space="preserve">の便益が生まれる。これが第1編 §4.7 の「CLT評価が +98 → −171 に逆転（変化幅 −269）」と整合する（正味便益 ＝ 静的評価との差分 ＝</w:t>
      </w:r>
      <w:r>
        <w:t xml:space="preserve"> </w:t>
      </w:r>
      <m:oMath>
        <m:r>
          <m:t>B</m:t>
        </m:r>
        <m:r>
          <m:t>×</m:t>
        </m:r>
        <m:r>
          <m:t>(</m:t>
        </m:r>
        <m:r>
          <m:t>1</m:t>
        </m:r>
        <m:r>
          <m:t>−</m:t>
        </m:r>
        <m:r>
          <m:t>0.578</m:t>
        </m:r>
        <m:r>
          <m:t>)</m:t>
        </m:r>
      </m:oMath>
      <w:r>
        <w:t xml:space="preserve">）。なお、規制上の</w:t>
      </w:r>
      <w:r>
        <w:t xml:space="preserve"> </w:t>
      </w:r>
      <w:r>
        <w:rPr>
          <w:b/>
        </w:rPr>
        <w:t xml:space="preserve">StockC 指標</w:t>
      </w:r>
      <w:r>
        <w:t xml:space="preserve">はこれとは別に「貯蔵量そのもの」を kg C/m² で開示するものであり、この正味便益の値ではないことに注意。</w:t>
      </w:r>
    </w:p>
    <w:p>
      <w:pPr>
        <w:pStyle w:val="BlockText"/>
      </w:pPr>
      <w:r>
        <w:rPr>
          <w:b/>
        </w:rPr>
        <w:t xml:space="preserve">⚠️ 数値の根拠と留保:</w:t>
      </w:r>
      <w:r>
        <w:t xml:space="preserve"> </w:t>
      </w:r>
      <w:r>
        <w:t xml:space="preserve">生物由来炭素量</w:t>
      </w:r>
      <w:r>
        <w:t xml:space="preserve"> </w:t>
      </w:r>
      <m:oMath>
        <m:r>
          <m:t>B</m:t>
        </m:r>
        <m:r>
          <m:t>≈</m:t>
        </m:r>
        <m:r>
          <m:t>640</m:t>
        </m:r>
      </m:oMath>
      <w:r>
        <w:t xml:space="preserve"> </w:t>
      </w:r>
      <w:r>
        <w:t xml:space="preserve">kgCO₂eq/m³ は、第1編 §4.7 の評価逆転幅（−269）から</w:t>
      </w:r>
      <w:r>
        <w:t xml:space="preserve"> </w:t>
      </w:r>
      <m:oMath>
        <m:r>
          <m:t>B</m:t>
        </m:r>
        <m:r>
          <m:t>=</m:t>
        </m:r>
        <m:r>
          <m:t>269</m:t>
        </m:r>
        <m:r>
          <m:t>/</m:t>
        </m:r>
        <m:r>
          <m:t>(</m:t>
        </m:r>
        <m:r>
          <m:t>1</m:t>
        </m:r>
        <m:r>
          <m:t>−</m:t>
        </m:r>
        <m:r>
          <m:t>0.578</m:t>
        </m:r>
        <m:r>
          <m:t>)</m:t>
        </m:r>
      </m:oMath>
      <w:r>
        <w:t xml:space="preserve"> </w:t>
      </w:r>
      <w:r>
        <w:t xml:space="preserve">として逆算した値であり、CLTの典型的な生物由来炭素量の文献範囲（密度・含水率により約650〜860 kgCO₂/m³。Perez et al., 2021等）と整合する。本報告書の旧版では269を炭素量そのものとして誤用していた。INIESの実FDESデータとの最終照合は第3係の情報基盤調査と連動して実施する。</w:t>
      </w:r>
    </w:p>
    <w:p>
      <w:pPr>
        <w:pStyle w:val="FirstParagraph"/>
      </w:pPr>
      <w:r>
        <w:t xml:space="preserve">計算ツール：フランスCSTBが提供する「</w:t>
      </w:r>
      <w:r>
        <w:rPr>
          <w:b/>
        </w:rPr>
        <w:t xml:space="preserve">Elodie</w:t>
      </w:r>
      <w:r>
        <w:t xml:space="preserve">」が建材環境宣言データベース</w:t>
      </w:r>
      <w:r>
        <w:rPr>
          <w:b/>
        </w:rPr>
        <w:t xml:space="preserve">INIES</w:t>
      </w:r>
      <w:r>
        <w:t xml:space="preserve">（収録される個別宣言が</w:t>
      </w:r>
      <w:r>
        <w:rPr>
          <w:b/>
        </w:rPr>
        <w:t xml:space="preserve">FDES</w:t>
      </w:r>
      <w:r>
        <w:t xml:space="preserve">）と連動してこの計算を自動化している。</w:t>
      </w:r>
    </w:p>
    <w:p>
      <w:r>
        <w:pict>
          <v:rect style="width:0;height:1.5pt" o:hralign="center" o:hrstd="t" o:hr="t"/>
        </w:pict>
      </w:r>
    </w:p>
    <w:p>
      <w:pPr>
        <w:pStyle w:val="Heading2"/>
      </w:pPr>
      <w:bookmarkStart w:id="33" w:name="環境性能評価方法"/>
      <w:r>
        <w:t xml:space="preserve">2. 環境性能評価方法</w:t>
      </w:r>
      <w:bookmarkEnd w:id="33"/>
    </w:p>
    <w:p>
      <w:pPr>
        <w:pStyle w:val="BlockText"/>
      </w:pPr>
      <w:r>
        <w:rPr>
          <w:b/>
        </w:rPr>
        <w:t xml:space="preserve">本節で分かること:</w:t>
      </w:r>
      <w:r>
        <w:t xml:space="preserve"> </w:t>
      </w:r>
      <w:r>
        <w:t xml:space="preserve">RE2020はどの建物に、いつから、どのように適用されるか。住宅と非住宅の評価方法はどう異なるか。</w:t>
      </w:r>
    </w:p>
    <w:p>
      <w:pPr>
        <w:pStyle w:val="Heading3"/>
      </w:pPr>
      <w:bookmarkStart w:id="34" w:name="適用建物種別と段階施行スケジュール"/>
      <w:r>
        <w:t xml:space="preserve">2.1 適用建物種別と段階施行スケジュール</w:t>
      </w:r>
      <w:bookmarkEnd w:id="34"/>
    </w:p>
    <w:p>
      <w:pPr>
        <w:pStyle w:val="FirstParagraph"/>
      </w:pPr>
      <w:r>
        <w:t xml:space="preserve">RE2020は新築建物を対象とし、用途・規模に応じた段階的施行が採られている。既存建物（改修）は対象外だが、将来的な適用拡大が議論されている（Rivaton, 2025）。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建物用途</w:t>
            </w:r>
          </w:p>
        </w:tc>
        <w:tc>
          <w:tcPr>
            <w:tcBorders>
              <w:bottom w:val="single"/>
            </w:tcBorders>
            <w:vAlign w:val="bottom"/>
          </w:tcPr>
          <w:p>
            <w:pPr>
              <w:pStyle w:val="Compact"/>
              <w:jc w:val="left"/>
            </w:pPr>
            <w:r>
              <w:t xml:space="preserve">施行日</w:t>
            </w:r>
          </w:p>
        </w:tc>
        <w:tc>
          <w:tcPr>
            <w:tcBorders>
              <w:bottom w:val="single"/>
            </w:tcBorders>
            <w:vAlign w:val="bottom"/>
          </w:tcPr>
          <w:p>
            <w:pPr>
              <w:pStyle w:val="Compact"/>
              <w:jc w:val="left"/>
            </w:pPr>
            <w:r>
              <w:t xml:space="preserve">適用規模</w:t>
            </w:r>
          </w:p>
        </w:tc>
        <w:tc>
          <w:tcPr>
            <w:tcBorders>
              <w:bottom w:val="single"/>
            </w:tcBorders>
            <w:vAlign w:val="bottom"/>
          </w:tcPr>
          <w:p>
            <w:pPr>
              <w:pStyle w:val="Compact"/>
              <w:jc w:val="left"/>
            </w:pPr>
            <w:r>
              <w:t xml:space="preserve">備考</w:t>
            </w:r>
          </w:p>
        </w:tc>
      </w:tr>
      <w:tr>
        <w:tc>
          <w:p>
            <w:pPr>
              <w:pStyle w:val="Compact"/>
              <w:jc w:val="left"/>
            </w:pPr>
            <w:r>
              <w:rPr>
                <w:b/>
              </w:rPr>
              <w:t xml:space="preserve">戸建住宅（maisons individuelles）</w:t>
            </w:r>
          </w:p>
        </w:tc>
        <w:tc>
          <w:p>
            <w:pPr>
              <w:pStyle w:val="Compact"/>
              <w:jc w:val="left"/>
            </w:pPr>
            <w:r>
              <w:t xml:space="preserve">2022年1月1日</w:t>
            </w:r>
          </w:p>
        </w:tc>
        <w:tc>
          <w:p>
            <w:pPr>
              <w:pStyle w:val="Compact"/>
              <w:jc w:val="left"/>
            </w:pPr>
            <w:r>
              <w:t xml:space="preserve">全規模</w:t>
            </w:r>
          </w:p>
        </w:tc>
        <w:tc>
          <w:p>
            <w:pPr>
              <w:pStyle w:val="Compact"/>
              <w:jc w:val="left"/>
            </w:pPr>
            <w:r>
              <w:t xml:space="preserve">世界初の動的LCA義務建築カテゴリ</w:t>
            </w:r>
          </w:p>
        </w:tc>
      </w:tr>
      <w:tr>
        <w:tc>
          <w:p>
            <w:pPr>
              <w:pStyle w:val="Compact"/>
              <w:jc w:val="left"/>
            </w:pPr>
            <w:r>
              <w:rPr>
                <w:b/>
              </w:rPr>
              <w:t xml:space="preserve">集合住宅（logements collectifs）</w:t>
            </w:r>
          </w:p>
        </w:tc>
        <w:tc>
          <w:p>
            <w:pPr>
              <w:pStyle w:val="Compact"/>
              <w:jc w:val="left"/>
            </w:pPr>
            <w:r>
              <w:t xml:space="preserve">2022年1月1日</w:t>
            </w:r>
          </w:p>
        </w:tc>
        <w:tc>
          <w:p>
            <w:pPr>
              <w:pStyle w:val="Compact"/>
              <w:jc w:val="left"/>
            </w:pPr>
            <w:r>
              <w:t xml:space="preserve">全規模</w:t>
            </w:r>
          </w:p>
        </w:tc>
        <w:tc>
          <w:p>
            <w:pPr>
              <w:pStyle w:val="Compact"/>
              <w:jc w:val="left"/>
            </w:pPr>
            <w:r>
              <w:t xml:space="preserve">戸建と同時施行</w:t>
            </w:r>
          </w:p>
        </w:tc>
      </w:tr>
      <w:tr>
        <w:tc>
          <w:p>
            <w:pPr>
              <w:pStyle w:val="Compact"/>
              <w:jc w:val="left"/>
            </w:pPr>
            <w:r>
              <w:rPr>
                <w:b/>
              </w:rPr>
              <w:t xml:space="preserve">事務所（bureaux）</w:t>
            </w:r>
          </w:p>
        </w:tc>
        <w:tc>
          <w:p>
            <w:pPr>
              <w:pStyle w:val="Compact"/>
              <w:jc w:val="left"/>
            </w:pPr>
            <w:r>
              <w:t xml:space="preserve">2022年7月1日</w:t>
            </w:r>
          </w:p>
        </w:tc>
        <w:tc>
          <w:p>
            <w:pPr>
              <w:pStyle w:val="Compact"/>
              <w:jc w:val="left"/>
            </w:pPr>
            <w:r>
              <w:t xml:space="preserve">全規模（面積閾値なし）</w:t>
            </w:r>
          </w:p>
        </w:tc>
        <w:tc>
          <w:p>
            <w:pPr>
              <w:pStyle w:val="Compact"/>
              <w:jc w:val="left"/>
            </w:pPr>
            <w:r>
              <w:t xml:space="preserve">教育施設と同時施行</w:t>
            </w:r>
          </w:p>
        </w:tc>
      </w:tr>
      <w:tr>
        <w:tc>
          <w:p>
            <w:pPr>
              <w:pStyle w:val="Compact"/>
              <w:jc w:val="left"/>
            </w:pPr>
            <w:r>
              <w:rPr>
                <w:b/>
              </w:rPr>
              <w:t xml:space="preserve">初等中等教育施設（enseignement primaire/secondaire）</w:t>
            </w:r>
          </w:p>
        </w:tc>
        <w:tc>
          <w:p>
            <w:pPr>
              <w:pStyle w:val="Compact"/>
              <w:jc w:val="left"/>
            </w:pPr>
            <w:r>
              <w:t xml:space="preserve">2022年7月1日</w:t>
            </w:r>
          </w:p>
        </w:tc>
        <w:tc>
          <w:p>
            <w:pPr>
              <w:pStyle w:val="Compact"/>
              <w:jc w:val="left"/>
            </w:pPr>
            <w:r>
              <w:t xml:space="preserve">全規模（面積閾値なし）</w:t>
            </w:r>
          </w:p>
        </w:tc>
        <w:tc>
          <w:p>
            <w:pPr>
              <w:pStyle w:val="Compact"/>
              <w:jc w:val="left"/>
            </w:pPr>
            <w:r>
              <w:t xml:space="preserve">事務所と同時施行</w:t>
            </w:r>
          </w:p>
        </w:tc>
      </w:tr>
      <w:tr>
        <w:tc>
          <w:p>
            <w:pPr>
              <w:pStyle w:val="Compact"/>
              <w:jc w:val="left"/>
            </w:pPr>
            <w:r>
              <w:rPr>
                <w:b/>
              </w:rPr>
              <w:t xml:space="preserve">増築・仮設建築物（上記の既対象用途）</w:t>
            </w:r>
          </w:p>
        </w:tc>
        <w:tc>
          <w:p>
            <w:pPr>
              <w:pStyle w:val="Compact"/>
              <w:jc w:val="left"/>
            </w:pPr>
            <w:r>
              <w:t xml:space="preserve">2023年1月1日</w:t>
            </w:r>
          </w:p>
        </w:tc>
        <w:tc>
          <w:p>
            <w:pPr>
              <w:pStyle w:val="Compact"/>
              <w:jc w:val="left"/>
            </w:pPr>
            <w:r>
              <w:t xml:space="preserve">小規模含む全て</w:t>
            </w:r>
          </w:p>
        </w:tc>
        <w:tc>
          <w:p>
            <w:pPr>
              <w:pStyle w:val="Compact"/>
              <w:jc w:val="left"/>
            </w:pPr>
            <w:r>
              <w:t xml:space="preserve">extensions・constructions provisoires</w:t>
            </w:r>
          </w:p>
        </w:tc>
      </w:tr>
      <w:tr>
        <w:tc>
          <w:p>
            <w:pPr>
              <w:pStyle w:val="Compact"/>
              <w:jc w:val="left"/>
            </w:pPr>
            <w:r>
              <w:rPr>
                <w:b/>
              </w:rPr>
              <w:t xml:space="preserve">その他第三次産業（ホテル・商業・EHPAD等）</w:t>
            </w:r>
          </w:p>
        </w:tc>
        <w:tc>
          <w:p>
            <w:pPr>
              <w:pStyle w:val="Compact"/>
              <w:jc w:val="left"/>
            </w:pPr>
            <w:r>
              <w:t xml:space="preserve">後続デクレで段階適用</w:t>
            </w:r>
          </w:p>
        </w:tc>
        <w:tc>
          <w:p>
            <w:pPr>
              <w:pStyle w:val="Compact"/>
              <w:jc w:val="left"/>
            </w:pPr>
            <w:r>
              <w:t xml:space="preserve">—</w:t>
            </w:r>
          </w:p>
        </w:tc>
        <w:tc>
          <w:p>
            <w:pPr>
              <w:pStyle w:val="Compact"/>
              <w:jc w:val="left"/>
            </w:pPr>
            <w:r>
              <w:t xml:space="preserve">フェーズ1時点はRT2012が継続適用</w:t>
            </w:r>
          </w:p>
        </w:tc>
      </w:tr>
      <w:tr>
        <w:tc>
          <w:p>
            <w:pPr>
              <w:pStyle w:val="Compact"/>
              <w:jc w:val="left"/>
            </w:pPr>
            <w:r>
              <w:rPr>
                <w:b/>
              </w:rPr>
              <w:t xml:space="preserve">既存建物の大規模改修</w:t>
            </w:r>
          </w:p>
        </w:tc>
        <w:tc>
          <w:p>
            <w:pPr>
              <w:pStyle w:val="Compact"/>
              <w:jc w:val="left"/>
            </w:pPr>
            <w:r>
              <w:t xml:space="preserve">検討中（2026〜）</w:t>
            </w:r>
          </w:p>
        </w:tc>
        <w:tc>
          <w:p>
            <w:pPr>
              <w:pStyle w:val="Compact"/>
              <w:jc w:val="left"/>
            </w:pPr>
            <w:r>
              <w:t xml:space="preserve">TBD</w:t>
            </w:r>
          </w:p>
        </w:tc>
        <w:tc>
          <w:p>
            <w:pPr>
              <w:pStyle w:val="Compact"/>
              <w:jc w:val="left"/>
            </w:pPr>
            <w:r>
              <w:t xml:space="preserve">Rivaton(2025)で必要性言及</w:t>
            </w:r>
          </w:p>
        </w:tc>
      </w:tr>
    </w:tbl>
    <w:p>
      <w:pPr>
        <w:pStyle w:val="BlockText"/>
      </w:pPr>
      <w:r>
        <w:rPr>
          <w:b/>
        </w:rPr>
        <w:t xml:space="preserve">出典:</w:t>
      </w:r>
      <w:r>
        <w:t xml:space="preserve"> </w:t>
      </w:r>
      <w:r>
        <w:t xml:space="preserve">Décret n°2021-1004; Arrêté du 4 août 2021; Cerema (2024), §1.1; Rivaton (2025)</w:t>
      </w:r>
    </w:p>
    <w:p>
      <w:pPr>
        <w:pStyle w:val="Heading3"/>
      </w:pPr>
      <w:bookmarkStart w:id="35" w:name="住宅と非住宅の評価方法の差異"/>
      <w:r>
        <w:t xml:space="preserve">2.2 住宅と非住宅の評価方法の差異</w:t>
      </w:r>
      <w:bookmarkEnd w:id="35"/>
    </w:p>
    <w:p>
      <w:pPr>
        <w:pStyle w:val="FirstParagraph"/>
      </w:pPr>
      <w:r>
        <w:t xml:space="preserve">RE2020は住宅（résidentiel）と非住宅（tertiaire）で一部異なる評価方法を採用している：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評価項目</w:t>
            </w:r>
          </w:p>
        </w:tc>
        <w:tc>
          <w:tcPr>
            <w:tcBorders>
              <w:bottom w:val="single"/>
            </w:tcBorders>
            <w:vAlign w:val="bottom"/>
          </w:tcPr>
          <w:p>
            <w:pPr>
              <w:pStyle w:val="Compact"/>
              <w:jc w:val="left"/>
            </w:pPr>
            <w:r>
              <w:t xml:space="preserve">住宅</w:t>
            </w:r>
          </w:p>
        </w:tc>
        <w:tc>
          <w:tcPr>
            <w:tcBorders>
              <w:bottom w:val="single"/>
            </w:tcBorders>
            <w:vAlign w:val="bottom"/>
          </w:tcPr>
          <w:p>
            <w:pPr>
              <w:pStyle w:val="Compact"/>
              <w:jc w:val="left"/>
            </w:pPr>
            <w:r>
              <w:t xml:space="preserve">非住宅</w:t>
            </w:r>
          </w:p>
        </w:tc>
      </w:tr>
      <w:tr>
        <w:tc>
          <w:p>
            <w:pPr>
              <w:pStyle w:val="Compact"/>
              <w:jc w:val="left"/>
            </w:pPr>
            <w:r>
              <w:rPr>
                <w:b/>
              </w:rPr>
              <w:t xml:space="preserve">基準面積</w:t>
            </w:r>
          </w:p>
        </w:tc>
        <w:tc>
          <w:p>
            <w:pPr>
              <w:pStyle w:val="Compact"/>
              <w:jc w:val="left"/>
            </w:pPr>
            <w:r>
              <w:t xml:space="preserve">居住面積（SHAB）</w:t>
            </w:r>
          </w:p>
        </w:tc>
        <w:tc>
          <w:p>
            <w:pPr>
              <w:pStyle w:val="Compact"/>
              <w:jc w:val="left"/>
            </w:pPr>
            <w:r>
              <w:t xml:space="preserve">有効面積（SU）または延べ床面積</w:t>
            </w:r>
          </w:p>
        </w:tc>
      </w:tr>
      <w:tr>
        <w:tc>
          <w:p>
            <w:pPr>
              <w:pStyle w:val="Compact"/>
              <w:jc w:val="left"/>
            </w:pPr>
            <w:r>
              <w:rPr>
                <w:b/>
              </w:rPr>
              <w:t xml:space="preserve">機能単位</w:t>
            </w:r>
          </w:p>
        </w:tc>
        <w:tc>
          <w:p>
            <w:pPr>
              <w:pStyle w:val="Compact"/>
              <w:jc w:val="left"/>
            </w:pPr>
            <w:r>
              <w:t xml:space="preserve">1 m² × 50年</w:t>
            </w:r>
          </w:p>
        </w:tc>
        <w:tc>
          <w:p>
            <w:pPr>
              <w:pStyle w:val="Compact"/>
              <w:jc w:val="left"/>
            </w:pPr>
            <w:r>
              <w:t xml:space="preserve">1 m² × 50年（または用途別）</w:t>
            </w:r>
          </w:p>
        </w:tc>
      </w:tr>
      <w:tr>
        <w:tc>
          <w:p>
            <w:pPr>
              <w:pStyle w:val="Compact"/>
              <w:jc w:val="left"/>
            </w:pPr>
            <w:r>
              <w:rPr>
                <w:b/>
              </w:rPr>
              <w:t xml:space="preserve">Bbio計算</w:t>
            </w:r>
          </w:p>
        </w:tc>
        <w:tc>
          <w:p>
            <w:pPr>
              <w:pStyle w:val="Compact"/>
              <w:jc w:val="left"/>
            </w:pPr>
            <w:r>
              <w:t xml:space="preserve">単純化モデル可</w:t>
            </w:r>
          </w:p>
        </w:tc>
        <w:tc>
          <w:p>
            <w:pPr>
              <w:pStyle w:val="Compact"/>
              <w:jc w:val="left"/>
            </w:pPr>
            <w:r>
              <w:t xml:space="preserve">詳細シミュレーション推奨</w:t>
            </w:r>
          </w:p>
        </w:tc>
      </w:tr>
      <w:tr>
        <w:tc>
          <w:p>
            <w:pPr>
              <w:pStyle w:val="Compact"/>
              <w:jc w:val="left"/>
            </w:pPr>
            <w:r>
              <w:rPr>
                <w:b/>
              </w:rPr>
              <w:t xml:space="preserve">用途別基準値</w:t>
            </w:r>
          </w:p>
        </w:tc>
        <w:tc>
          <w:p>
            <w:pPr>
              <w:pStyle w:val="Compact"/>
              <w:jc w:val="left"/>
            </w:pPr>
            <w:r>
              <w:t xml:space="preserve">一戸建/集合別</w:t>
            </w:r>
          </w:p>
        </w:tc>
        <w:tc>
          <w:p>
            <w:pPr>
              <w:pStyle w:val="Compact"/>
              <w:jc w:val="left"/>
            </w:pPr>
            <w:r>
              <w:t xml:space="preserve">用途別（事務所/教育/医療等）に細分化</w:t>
            </w:r>
          </w:p>
        </w:tc>
      </w:tr>
      <w:tr>
        <w:tc>
          <w:p>
            <w:pPr>
              <w:pStyle w:val="Compact"/>
              <w:jc w:val="left"/>
            </w:pPr>
            <w:r>
              <w:rPr>
                <w:b/>
              </w:rPr>
              <w:t xml:space="preserve">データ源</w:t>
            </w:r>
          </w:p>
        </w:tc>
        <w:tc>
          <w:p>
            <w:pPr>
              <w:pStyle w:val="Compact"/>
              <w:jc w:val="left"/>
            </w:pPr>
            <w:r>
              <w:t xml:space="preserve">FDES/INIESまたはデフォルト値</w:t>
            </w:r>
          </w:p>
        </w:tc>
        <w:tc>
          <w:p>
            <w:pPr>
              <w:pStyle w:val="Compact"/>
              <w:jc w:val="left"/>
            </w:pPr>
            <w:r>
              <w:t xml:space="preserve">FDES/INIESを原則</w:t>
            </w:r>
          </w:p>
        </w:tc>
      </w:tr>
    </w:tbl>
    <w:p>
      <w:pPr>
        <w:pStyle w:val="BodyText"/>
      </w:pPr>
      <w:r>
        <w:t xml:space="preserve">非住宅（第三次産業）においては、LCAソフトウェアによる詳細計算とともに、建物タイプ別の「デフォルトエミッション係数」（valeurs forfaitaires）の使用も認められており、中小規模事業者の適用コストを抑える配慮がなされている（Cerema, 2024, §4.2）。</w:t>
      </w:r>
    </w:p>
    <w:p>
      <w:pPr>
        <w:pStyle w:val="Heading3"/>
      </w:pPr>
      <w:bookmarkStart w:id="36" w:name="評価の計算フロー"/>
      <w:r>
        <w:t xml:space="preserve">2.3 評価の計算フロー</w:t>
      </w:r>
      <w:bookmarkEnd w:id="36"/>
    </w:p>
    <w:p>
      <w:pPr>
        <w:pStyle w:val="FirstParagraph"/>
      </w:pPr>
      <w:r>
        <w:t xml:space="preserve">RE2020の環境性能評価は下記の手順で実施される：</w:t>
      </w:r>
    </w:p>
    <w:p>
      <w:pPr>
        <w:pStyle w:val="SourceCode"/>
      </w:pPr>
      <w:r>
        <w:rPr>
          <w:rStyle w:val="VerbatimChar"/>
        </w:rPr>
        <w:t xml:space="preserve">① 建物設計情報（材料・設備・面積等）の入力</w:t>
      </w:r>
      <w:r>
        <w:br/>
      </w:r>
      <w:r>
        <w:rPr>
          <w:rStyle w:val="VerbatimChar"/>
        </w:rPr>
        <w:t xml:space="preserve">    ↓</w:t>
      </w:r>
      <w:r>
        <w:br/>
      </w:r>
      <w:r>
        <w:rPr>
          <w:rStyle w:val="VerbatimChar"/>
        </w:rPr>
        <w:t xml:space="preserve">② 各建材のFDES（フランスEPD）またはINIESデータを参照</w:t>
      </w:r>
      <w:r>
        <w:br/>
      </w:r>
      <w:r>
        <w:rPr>
          <w:rStyle w:val="VerbatimChar"/>
        </w:rPr>
        <w:t xml:space="preserve">    ↓</w:t>
      </w:r>
      <w:r>
        <w:br/>
      </w:r>
      <w:r>
        <w:rPr>
          <w:rStyle w:val="VerbatimChar"/>
        </w:rPr>
        <w:t xml:space="preserve">③ EN 15978モジュール（A1〜C4）ごとのGHG排出量を集計</w:t>
      </w:r>
      <w:r>
        <w:br/>
      </w:r>
      <w:r>
        <w:rPr>
          <w:rStyle w:val="VerbatimChar"/>
        </w:rPr>
        <w:t xml:space="preserve">    ↓</w:t>
      </w:r>
      <w:r>
        <w:br/>
      </w:r>
      <w:r>
        <w:rPr>
          <w:rStyle w:val="VerbatimChar"/>
        </w:rPr>
        <w:t xml:space="preserve">④ 各年の排出量に動的LCA重み係数を適用（生物由来炭素の固定・放出を含む）</w:t>
      </w:r>
      <w:r>
        <w:br/>
      </w:r>
      <w:r>
        <w:rPr>
          <w:rStyle w:val="VerbatimChar"/>
        </w:rPr>
        <w:t xml:space="preserve">    ↓</w:t>
      </w:r>
      <w:r>
        <w:br/>
      </w:r>
      <w:r>
        <w:rPr>
          <w:rStyle w:val="VerbatimChar"/>
        </w:rPr>
        <w:t xml:space="preserve">⑤ Ic construction・Ic énergie を算出（StockC〔貯蔵量, kg C/m²〕は情報提供指標として別途算出）</w:t>
      </w:r>
      <w:r>
        <w:br/>
      </w:r>
      <w:r>
        <w:rPr>
          <w:rStyle w:val="VerbatimChar"/>
        </w:rPr>
        <w:t xml:space="preserve">    ↓</w:t>
      </w:r>
      <w:r>
        <w:br/>
      </w:r>
      <w:r>
        <w:rPr>
          <w:rStyle w:val="VerbatimChar"/>
        </w:rPr>
        <w:t xml:space="preserve">⑥ Ic construction・Ic énergie をそれぞれArrêtéの基準値（seuil）と照合して適合判定</w:t>
      </w:r>
    </w:p>
    <w:p>
      <w:pPr>
        <w:pStyle w:val="FirstParagraph"/>
      </w:pPr>
      <w:r>
        <w:t xml:space="preserve">計算ツールとしてはElodie（CSTB）が最も普及しているが、民間の互換ツール（Nooco, ClimaWin等）も認定されている。</w:t>
      </w:r>
    </w:p>
    <w:p>
      <w:pPr>
        <w:pStyle w:val="Heading3"/>
      </w:pPr>
      <w:bookmarkStart w:id="37" w:name="デフォルト値と実測epdの使い分け"/>
      <w:r>
        <w:t xml:space="preserve">2.4 「デフォルト値」と「実測EPD」の使い分け</w:t>
      </w:r>
      <w:bookmarkEnd w:id="37"/>
    </w:p>
    <w:p>
      <w:pPr>
        <w:pStyle w:val="FirstParagraph"/>
      </w:pPr>
      <w:r>
        <w:t xml:space="preserve">RE2020では建材データの品質に関して</w:t>
      </w:r>
      <w:r>
        <w:rPr>
          <w:b/>
        </w:rPr>
        <w:t xml:space="preserve">2段階のヒエラルキー</w:t>
      </w:r>
      <w:r>
        <w:t xml:space="preserve">が設けられている：</w:t>
      </w:r>
    </w:p>
    <w:p>
      <w:pPr>
        <w:numPr>
          <w:ilvl w:val="0"/>
          <w:numId w:val="1005"/>
        </w:numPr>
        <w:pStyle w:val="Compact"/>
      </w:pPr>
      <w:r>
        <w:rPr>
          <w:b/>
        </w:rPr>
        <w:t xml:space="preserve">FDES/EPD（製品固有データ）：</w:t>
      </w:r>
      <w:r>
        <w:t xml:space="preserve"> </w:t>
      </w:r>
      <w:r>
        <w:t xml:space="preserve">製造者が第三者認証を取得したEPD。INIESデータベースに登録済みのもの。最も精度が高い。</w:t>
      </w:r>
    </w:p>
    <w:p>
      <w:pPr>
        <w:numPr>
          <w:ilvl w:val="0"/>
          <w:numId w:val="1005"/>
        </w:numPr>
        <w:pStyle w:val="Compact"/>
      </w:pPr>
      <w:r>
        <w:rPr>
          <w:b/>
        </w:rPr>
        <w:t xml:space="preserve">デフォルト値（valeurs par défaut）：</w:t>
      </w:r>
      <w:r>
        <w:t xml:space="preserve"> </w:t>
      </w:r>
      <w:r>
        <w:t xml:space="preserve">製造者固有のEPDがない建材に対して政府が定める保守的なデフォルト係数。EPDより不利な値が設定されることが多く、製造者のEPD取得を促すインセンティブとなっている。</w:t>
      </w:r>
    </w:p>
    <w:p>
      <w:pPr>
        <w:pStyle w:val="FirstParagraph"/>
      </w:pPr>
      <w:r>
        <w:t xml:space="preserve">この二段階制は、データ整備の段階的充実を見越した現実的な設計であると同時に、「デフォルト値の不利さ」がFDES登録を促進する政策効果を持つ（Rivaton, 2025; 頁番号はPDF原文要確認）。</w:t>
      </w:r>
    </w:p>
    <w:p>
      <w:r>
        <w:pict>
          <v:rect style="width:0;height:1.5pt" o:hralign="center" o:hrstd="t" o:hr="t"/>
        </w:pict>
      </w:r>
    </w:p>
    <w:p>
      <w:pPr>
        <w:pStyle w:val="Heading2"/>
      </w:pPr>
      <w:bookmarkStart w:id="38" w:name="levels及びen-15978との関係性"/>
      <w:r>
        <w:t xml:space="preserve">3. Level(s)及びEN 15978との関係性</w:t>
      </w:r>
      <w:bookmarkEnd w:id="38"/>
    </w:p>
    <w:p>
      <w:pPr>
        <w:pStyle w:val="BlockText"/>
      </w:pPr>
      <w:r>
        <w:rPr>
          <w:b/>
        </w:rPr>
        <w:t xml:space="preserve">本節で分かること:</w:t>
      </w:r>
      <w:r>
        <w:t xml:space="preserve"> </w:t>
      </w:r>
      <w:r>
        <w:t xml:space="preserve">RE2020はEUの共通評価枠組み（Level(s)）およびEN 15978とどう整合し、またどこが独自拡張なのか。EPBD 2024改正がRE2020をどう位置づけるか。</w:t>
      </w:r>
    </w:p>
    <w:p>
      <w:pPr>
        <w:pStyle w:val="Heading3"/>
      </w:pPr>
      <w:bookmarkStart w:id="39" w:name="eu共通枠組みとしてのlevels"/>
      <w:r>
        <w:t xml:space="preserve">3.1 EU共通枠組みとしてのLevel(s)</w:t>
      </w:r>
      <w:bookmarkEnd w:id="39"/>
    </w:p>
    <w:p>
      <w:pPr>
        <w:pStyle w:val="FirstParagraph"/>
      </w:pPr>
      <w:r>
        <w:rPr>
          <w:b/>
        </w:rPr>
        <w:t xml:space="preserve">Level(s)</w:t>
      </w:r>
      <w:r>
        <w:t xml:space="preserve">は欧州委員会が2020年に公表した「建物の持続可能性評価のためのEU共通コア指標フレームワーク」であり、建物のライフサイクル全体を対象とした6つのマクロ目標・16指標を規定する（European Commission, 2020）。</w:t>
      </w:r>
    </w:p>
    <w:p>
      <w:pPr>
        <w:pStyle w:val="BodyText"/>
      </w:pPr>
      <w:r>
        <w:t xml:space="preserve">RE2020との関係において特に重要なのは</w:t>
      </w:r>
      <w:r>
        <w:rPr>
          <w:b/>
        </w:rPr>
        <w:t xml:space="preserve">指標6（Indicator 6）: Life Cycle Global Warming Potential（GWP）</w:t>
      </w:r>
      <w:r>
        <w:t xml:space="preserve">である。この指標はEN 15978に基づく建物全体のライフサイクルGHGを算出することを要求している。</w:t>
      </w:r>
    </w:p>
    <w:tbl>
      <w:tblPr>
        <w:tblStyle w:val="Table"/>
        <w:tblW w:type="pct" w:w="5000.0"/>
        <w:tblLook w:firstRow="1"/>
      </w:tblPr>
      <w:tblGrid>
        <w:gridCol w:w="3168"/>
        <w:gridCol w:w="1357"/>
        <w:gridCol w:w="3394"/>
      </w:tblGrid>
      <w:tr>
        <w:trPr>
          <w:cnfStyle w:firstRow="1"/>
        </w:trPr>
        <w:tc>
          <w:tcPr>
            <w:tcBorders>
              <w:bottom w:val="single"/>
            </w:tcBorders>
            <w:vAlign w:val="bottom"/>
          </w:tcPr>
          <w:p>
            <w:pPr>
              <w:pStyle w:val="Compact"/>
              <w:jc w:val="left"/>
            </w:pPr>
            <w:r>
              <w:t xml:space="preserve">Level(s) 指標</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RE2020との対応</w:t>
            </w:r>
          </w:p>
        </w:tc>
      </w:tr>
      <w:tr>
        <w:tc>
          <w:p>
            <w:pPr>
              <w:pStyle w:val="Compact"/>
              <w:jc w:val="left"/>
            </w:pPr>
            <w:r>
              <w:rPr>
                <w:b/>
              </w:rPr>
              <w:t xml:space="preserve">指標6（Macro目標4）</w:t>
            </w:r>
          </w:p>
        </w:tc>
        <w:tc>
          <w:p>
            <w:pPr>
              <w:pStyle w:val="Compact"/>
              <w:jc w:val="left"/>
            </w:pPr>
            <w:r>
              <w:t xml:space="preserve">ライフサイクルGHG（kgCO₂eq/m²/yr）</w:t>
            </w:r>
          </w:p>
        </w:tc>
        <w:tc>
          <w:p>
            <w:pPr>
              <w:pStyle w:val="Compact"/>
              <w:jc w:val="left"/>
            </w:pPr>
            <w:r>
              <w:t xml:space="preserve">RE2020の</w:t>
            </w:r>
            <m:oMath>
              <m:r>
                <m:t>I</m:t>
              </m:r>
              <m:r>
                <m:t>c</m:t>
              </m:r>
            </m:oMath>
            <w:r>
              <w:t xml:space="preserve">指標に直接対応</w:t>
            </w:r>
          </w:p>
        </w:tc>
      </w:tr>
      <w:tr>
        <w:tc>
          <w:p>
            <w:pPr>
              <w:pStyle w:val="Compact"/>
              <w:jc w:val="left"/>
            </w:pPr>
            <w:r>
              <w:rPr>
                <w:b/>
              </w:rPr>
              <w:t xml:space="preserve">指標2（エネルギー）</w:t>
            </w:r>
          </w:p>
        </w:tc>
        <w:tc>
          <w:p>
            <w:pPr>
              <w:pStyle w:val="Compact"/>
              <w:jc w:val="left"/>
            </w:pPr>
            <w:r>
              <w:t xml:space="preserve">運用エネルギーGHG</w:t>
            </w:r>
          </w:p>
        </w:tc>
        <w:tc>
          <w:p>
            <w:pPr>
              <w:pStyle w:val="Compact"/>
              <w:jc w:val="left"/>
            </w:pPr>
            <w:r>
              <w:t xml:space="preserve">RE2020の</w:t>
            </w:r>
            <m:oMath>
              <m:r>
                <m:t>C</m:t>
              </m:r>
              <m:r>
                <m:t>e</m:t>
              </m:r>
              <m:r>
                <m:t>p</m:t>
              </m:r>
              <m:r>
                <m:t>,</m:t>
              </m:r>
              <m:r>
                <m:t>n</m:t>
              </m:r>
              <m:r>
                <m:t>r</m:t>
              </m:r>
            </m:oMath>
            <w:r>
              <w:t xml:space="preserve">・</w:t>
            </w:r>
            <m:oMath>
              <m:r>
                <m:t>B</m:t>
              </m:r>
              <m:r>
                <m:t>b</m:t>
              </m:r>
              <m:r>
                <m:t>i</m:t>
              </m:r>
              <m:r>
                <m:t>o</m:t>
              </m:r>
            </m:oMath>
            <w:r>
              <w:t xml:space="preserve">に対応</w:t>
            </w:r>
          </w:p>
        </w:tc>
      </w:tr>
      <w:tr>
        <w:tc>
          <w:p>
            <w:pPr>
              <w:pStyle w:val="Compact"/>
              <w:jc w:val="left"/>
            </w:pPr>
            <w:r>
              <w:rPr>
                <w:b/>
              </w:rPr>
              <w:t xml:space="preserve">指標7（水）</w:t>
            </w:r>
          </w:p>
        </w:tc>
        <w:tc>
          <w:p>
            <w:pPr>
              <w:pStyle w:val="Compact"/>
              <w:jc w:val="left"/>
            </w:pPr>
            <w:r>
              <w:t xml:space="preserve">水消費ライフサイクル</w:t>
            </w:r>
          </w:p>
        </w:tc>
        <w:tc>
          <w:p>
            <w:pPr>
              <w:pStyle w:val="Compact"/>
              <w:jc w:val="left"/>
            </w:pPr>
            <w:r>
              <w:t xml:space="preserve">水消費の炭素影響はコントリビュータ「eau」として評価（情報提供指標</w:t>
            </w:r>
            <w:r>
              <w:t xml:space="preserve"> </w:t>
            </w:r>
            <m:oMath>
              <m:r>
                <m:t>I</m:t>
              </m:r>
              <m:sSub>
                <m:e>
                  <m:r>
                    <m:t>c</m:t>
                  </m:r>
                </m:e>
                <m:sub>
                  <m:r>
                    <m:rPr>
                      <m:nor/>
                      <m:sty m:val="p"/>
                    </m:rPr>
                    <m:t>bâtiment</m:t>
                  </m:r>
                </m:sub>
              </m:sSub>
            </m:oMath>
            <w:r>
              <w:t xml:space="preserve"> </w:t>
            </w:r>
            <w:r>
              <w:t xml:space="preserve">に算入）。水使用量自体の規制指標はなし</w:t>
            </w:r>
          </w:p>
        </w:tc>
      </w:tr>
      <w:tr>
        <w:tc>
          <w:p>
            <w:pPr>
              <w:pStyle w:val="Compact"/>
              <w:jc w:val="left"/>
            </w:pPr>
            <w:r>
              <w:rPr>
                <w:b/>
              </w:rPr>
              <w:t xml:space="preserve">指標8（材料・廃棄物）</w:t>
            </w:r>
          </w:p>
        </w:tc>
        <w:tc>
          <w:p>
            <w:pPr>
              <w:pStyle w:val="Compact"/>
              <w:jc w:val="left"/>
            </w:pPr>
            <w:r>
              <w:t xml:space="preserve">エンボディド資材フロー</w:t>
            </w:r>
          </w:p>
        </w:tc>
        <w:tc>
          <w:p>
            <w:pPr>
              <w:pStyle w:val="Compact"/>
              <w:jc w:val="left"/>
            </w:pPr>
            <w:r>
              <w:t xml:space="preserve">RE2020のモジュールC・D部分と関連</w:t>
            </w:r>
          </w:p>
        </w:tc>
      </w:tr>
    </w:tbl>
    <w:p>
      <w:pPr>
        <w:pStyle w:val="BodyText"/>
      </w:pPr>
      <w:r>
        <w:rPr>
          <w:b/>
        </w:rPr>
        <w:t xml:space="preserve">フランスRE2020はLevel(s) 指標6の「先行実装」</w:t>
      </w:r>
      <w:r>
        <w:t xml:space="preserve"> </w:t>
      </w:r>
      <w:r>
        <w:t xml:space="preserve">として位置づけられ、EUレベルでの義務化（EPBD 2024改正により段階的開示義務化）の実証事例となっている。ただし、RE2020が独自の動的LCA補正を採用している点は、Level(s)の静的LCA指向（EN 15978準拠・静的GWP100）とのわずかな乖離を生じさせている（Ventura, 2022）。</w:t>
      </w:r>
    </w:p>
    <w:p>
      <w:pPr>
        <w:pStyle w:val="BodyText"/>
      </w:pPr>
      <w:r>
        <w:rPr>
          <w:b/>
        </w:rPr>
        <w:t xml:space="preserve">国際規格の現状:</w:t>
      </w:r>
      <w:r>
        <w:t xml:space="preserve"> </w:t>
      </w:r>
      <w:r>
        <w:t xml:space="preserve">動的バイオジェニック炭素評価を直接規定する国際規格は、本報告書作成時点では存在しない（建物持続可能性評価の枠組み規格としてはISO 21931-1:2022があるが、動的LCAは規定していない）。国際標準化の議論は主にCEN/TC 350におけるEN 15978・EN 15804の改訂作業の中で行われており、フランスは動的LCAの規制運用実績を持つ唯一の国としてこの議論に影響力を持つ。Level(s)指標6の将来的な改訂もこの動向に依存する。</w:t>
      </w:r>
    </w:p>
    <w:p>
      <w:pPr>
        <w:pStyle w:val="Heading3"/>
      </w:pPr>
      <w:bookmarkStart w:id="40" w:name="en-15978とre2020の詳細対応"/>
      <w:r>
        <w:t xml:space="preserve">3.2 EN 15978とRE2020の詳細対応</w:t>
      </w:r>
      <w:bookmarkEnd w:id="40"/>
    </w:p>
    <w:p>
      <w:pPr>
        <w:pStyle w:val="FirstParagraph"/>
      </w:pPr>
      <w:r>
        <w:rPr>
          <w:b/>
        </w:rPr>
        <w:t xml:space="preserve">EN 15978:2011（建物ライフサイクル評価計算方法）</w:t>
      </w:r>
      <w:r>
        <w:t xml:space="preserve">はRE2020の評価計算の直接的な基盤規格であり、モジュール構造（A1〜D）および計算手順の骨格を定めている。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 15978 / EN 15804+A2 要素</w:t>
            </w:r>
          </w:p>
        </w:tc>
        <w:tc>
          <w:tcPr>
            <w:tcBorders>
              <w:bottom w:val="single"/>
            </w:tcBorders>
            <w:vAlign w:val="bottom"/>
          </w:tcPr>
          <w:p>
            <w:pPr>
              <w:pStyle w:val="Compact"/>
              <w:jc w:val="left"/>
            </w:pPr>
            <w:r>
              <w:t xml:space="preserve">RE2020での採用状況</w:t>
            </w:r>
          </w:p>
        </w:tc>
        <w:tc>
          <w:tcPr>
            <w:tcBorders>
              <w:bottom w:val="single"/>
            </w:tcBorders>
            <w:vAlign w:val="bottom"/>
          </w:tcPr>
          <w:p>
            <w:pPr>
              <w:pStyle w:val="Compact"/>
              <w:jc w:val="left"/>
            </w:pPr>
            <w:r>
              <w:t xml:space="preserve">差異・拡張</w:t>
            </w:r>
          </w:p>
        </w:tc>
      </w:tr>
      <w:tr>
        <w:tc>
          <w:p>
            <w:pPr>
              <w:pStyle w:val="Compact"/>
              <w:jc w:val="left"/>
            </w:pPr>
            <w:r>
              <w:rPr>
                <w:b/>
              </w:rPr>
              <w:t xml:space="preserve">モジュール構造（A1〜D）</w:t>
            </w:r>
          </w:p>
        </w:tc>
        <w:tc>
          <w:p>
            <w:pPr>
              <w:pStyle w:val="Compact"/>
              <w:jc w:val="left"/>
            </w:pPr>
            <w:r>
              <w:t xml:space="preserve">完全採用</w:t>
            </w:r>
          </w:p>
        </w:tc>
        <w:tc>
          <w:p>
            <w:pPr>
              <w:pStyle w:val="Compact"/>
              <w:jc w:val="left"/>
            </w:pPr>
            <w:r>
              <w:t xml:space="preserve">動的重み付け＋StockC指標（情報提供）を独自追加</w:t>
            </w:r>
          </w:p>
        </w:tc>
      </w:tr>
      <w:tr>
        <w:tc>
          <w:p>
            <w:pPr>
              <w:pStyle w:val="Compact"/>
              <w:jc w:val="left"/>
            </w:pPr>
            <w:r>
              <w:rPr>
                <w:b/>
              </w:rPr>
              <w:t xml:space="preserve">機能単位</w:t>
            </w:r>
          </w:p>
        </w:tc>
        <w:tc>
          <w:p>
            <w:pPr>
              <w:pStyle w:val="Compact"/>
              <w:jc w:val="left"/>
            </w:pPr>
            <w:r>
              <w:t xml:space="preserve">1 m²（建物床面積）× 50年</w:t>
            </w:r>
          </w:p>
        </w:tc>
        <w:tc>
          <w:p>
            <w:pPr>
              <w:pStyle w:val="Compact"/>
              <w:jc w:val="left"/>
            </w:pPr>
            <w:r>
              <w:t xml:space="preserve">EN 15978より具体的に規定</w:t>
            </w:r>
          </w:p>
        </w:tc>
      </w:tr>
      <w:tr>
        <w:tc>
          <w:p>
            <w:pPr>
              <w:pStyle w:val="Compact"/>
              <w:jc w:val="left"/>
            </w:pPr>
            <w:r>
              <w:rPr>
                <w:b/>
              </w:rPr>
              <w:t xml:space="preserve">GHG算定手法</w:t>
            </w:r>
          </w:p>
        </w:tc>
        <w:tc>
          <w:p>
            <w:pPr>
              <w:pStyle w:val="Compact"/>
              <w:jc w:val="left"/>
            </w:pPr>
            <w:r>
              <w:t xml:space="preserve">GWP100（静的）+ 動的DCF</w:t>
            </w:r>
          </w:p>
        </w:tc>
        <w:tc>
          <w:p>
            <w:pPr>
              <w:pStyle w:val="Compact"/>
              <w:jc w:val="left"/>
            </w:pPr>
            <w:r>
              <w:t xml:space="preserve">EN 15978本体は静的GWP100のみ規定</w:t>
            </w:r>
          </w:p>
        </w:tc>
      </w:tr>
      <w:tr>
        <w:tc>
          <w:p>
            <w:pPr>
              <w:pStyle w:val="Compact"/>
              <w:jc w:val="left"/>
            </w:pPr>
            <w:r>
              <w:rPr>
                <w:b/>
              </w:rPr>
              <w:t xml:space="preserve">システム境界</w:t>
            </w:r>
          </w:p>
        </w:tc>
        <w:tc>
          <w:p>
            <w:pPr>
              <w:pStyle w:val="Compact"/>
              <w:jc w:val="left"/>
            </w:pPr>
            <w:r>
              <w:t xml:space="preserve">A1〜C4必須、D任意</w:t>
            </w:r>
          </w:p>
        </w:tc>
        <w:tc>
          <w:p>
            <w:pPr>
              <w:pStyle w:val="Compact"/>
              <w:jc w:val="left"/>
            </w:pPr>
            <w:r>
              <w:t xml:space="preserve">EN 15978と一致</w:t>
            </w:r>
          </w:p>
        </w:tc>
      </w:tr>
      <w:tr>
        <w:tc>
          <w:p>
            <w:pPr>
              <w:pStyle w:val="Compact"/>
              <w:jc w:val="left"/>
            </w:pPr>
            <w:r>
              <w:rPr>
                <w:b/>
              </w:rPr>
              <w:t xml:space="preserve">データ要件</w:t>
            </w:r>
          </w:p>
        </w:tc>
        <w:tc>
          <w:p>
            <w:pPr>
              <w:pStyle w:val="Compact"/>
              <w:jc w:val="left"/>
            </w:pPr>
            <w:r>
              <w:t xml:space="preserve">EPD/FDES優先、デフォルト値可</w:t>
            </w:r>
          </w:p>
        </w:tc>
        <w:tc>
          <w:p>
            <w:pPr>
              <w:pStyle w:val="Compact"/>
              <w:jc w:val="left"/>
            </w:pPr>
            <w:r>
              <w:t xml:space="preserve">EN 15978より具体的な品質基準を追加</w:t>
            </w:r>
          </w:p>
        </w:tc>
      </w:tr>
      <w:tr>
        <w:tc>
          <w:p>
            <w:pPr>
              <w:pStyle w:val="Compact"/>
              <w:jc w:val="left"/>
            </w:pPr>
            <w:r>
              <w:rPr>
                <w:b/>
              </w:rPr>
              <w:t xml:space="preserve">バイオジェニック炭素</w:t>
            </w:r>
          </w:p>
        </w:tc>
        <w:tc>
          <w:p>
            <w:pPr>
              <w:pStyle w:val="Compact"/>
              <w:jc w:val="left"/>
            </w:pPr>
            <w:r>
              <w:t xml:space="preserve">−1/+1アプローチ（EN 15804+A2準拠）+動的補正</w:t>
            </w:r>
          </w:p>
        </w:tc>
        <w:tc>
          <w:p>
            <w:pPr>
              <w:pStyle w:val="Compact"/>
              <w:jc w:val="left"/>
            </w:pPr>
            <w:r>
              <w:t xml:space="preserve">EN 15978は中立的。RE2020が独自拡張</w:t>
            </w:r>
          </w:p>
        </w:tc>
      </w:tr>
    </w:tbl>
    <w:p>
      <w:pPr>
        <w:pStyle w:val="BodyText"/>
      </w:pPr>
      <w:r>
        <w:rPr>
          <w:b/>
        </w:rPr>
        <w:t xml:space="preserve">EN 15804+A2:2019との関係</w:t>
      </w:r>
      <w:r>
        <w:t xml:space="preserve">（建材EPD規格）：RE2020のFDES（フランスEPD）はEN 15804+A2に準拠して作成される。EN 15804+A2で導入された</w:t>
      </w:r>
      <w:r>
        <w:rPr>
          <w:b/>
        </w:rPr>
        <w:t xml:space="preserve">GWP-biogenic（バイオジェニックGWP別途開示）</w:t>
      </w:r>
      <w:r>
        <w:t xml:space="preserve">のアプローチが、RE2020における生物由来炭素量の把握（StockC指標の算出・動的重み付けの適用）において活用されている。</w:t>
      </w:r>
    </w:p>
    <w:p>
      <w:pPr>
        <w:pStyle w:val="Heading3"/>
      </w:pPr>
      <w:bookmarkStart w:id="41" w:name="epbd-2024改正との接続"/>
      <w:r>
        <w:t xml:space="preserve">3.3 EPBD 2024改正との接続</w:t>
      </w:r>
      <w:bookmarkEnd w:id="41"/>
    </w:p>
    <w:p>
      <w:pPr>
        <w:pStyle w:val="FirstParagraph"/>
      </w:pPr>
      <w:r>
        <w:t xml:space="preserve">2024年5月に成立した</w:t>
      </w:r>
      <w:r>
        <w:rPr>
          <w:b/>
        </w:rPr>
        <w:t xml:space="preserve">EPBD改正指令（Directive (EU) 2024/1275）</w:t>
      </w:r>
      <w:r>
        <w:t xml:space="preserve">は、全EU加盟国に対して以下を義務付けた：</w:t>
      </w:r>
    </w:p>
    <w:p>
      <w:pPr>
        <w:numPr>
          <w:ilvl w:val="0"/>
          <w:numId w:val="1006"/>
        </w:numPr>
        <w:pStyle w:val="Compact"/>
      </w:pPr>
      <w:r>
        <w:t xml:space="preserve">2030年以降の新築建物に対するライフサイクルGHG（Whole Life Carbon; WLC）の</w:t>
      </w:r>
      <w:r>
        <w:rPr>
          <w:b/>
        </w:rPr>
        <w:t xml:space="preserve">開示義務</w:t>
      </w:r>
    </w:p>
    <w:p>
      <w:pPr>
        <w:numPr>
          <w:ilvl w:val="0"/>
          <w:numId w:val="1006"/>
        </w:numPr>
        <w:pStyle w:val="Compact"/>
      </w:pPr>
      <w:r>
        <w:t xml:space="preserve">2050年に向けた段階的なWLC</w:t>
      </w:r>
      <w:r>
        <w:rPr>
          <w:b/>
        </w:rPr>
        <w:t xml:space="preserve">上限規制</w:t>
      </w:r>
      <w:r>
        <w:t xml:space="preserve">の導入検討</w:t>
      </w:r>
    </w:p>
    <w:p>
      <w:pPr>
        <w:pStyle w:val="FirstParagraph"/>
      </w:pPr>
      <w:r>
        <w:t xml:space="preserve">この動向において、フランスRE2020はEU全域でのWLC義務化の</w:t>
      </w:r>
      <w:r>
        <w:rPr>
          <w:b/>
        </w:rPr>
        <w:t xml:space="preserve">先行モデル</w:t>
      </w:r>
      <w:r>
        <w:t xml:space="preserve">として明示的に参照されており（European Parliament, 2024）、RE2020の評価手法がENレベルの標準として反映されていく可能性が高い。なお、EPBD 2024条文中のRE2020への言及については、指令本文および前文（Recitals）の原文参照が推奨される（本報告書では具体的条番号の確認が残件）。ただし、EPBD 2024は評価手法の詳細をCEN（欧州標準化委員会）への委任事項としており、EN 15978の次期改訂（EN 15978:202x）での動的バイオジェニック評価の組み込みが焦点となっている。</w:t>
      </w:r>
    </w:p>
    <w:p>
      <w:r>
        <w:pict>
          <v:rect style="width:0;height:1.5pt" o:hralign="center" o:hrstd="t" o:hr="t"/>
        </w:pict>
      </w:r>
    </w:p>
    <w:p>
      <w:pPr>
        <w:pStyle w:val="Heading2"/>
      </w:pPr>
      <w:bookmarkStart w:id="42" w:name="サーキュラーエコノミー施策との関係性"/>
      <w:r>
        <w:t xml:space="preserve">4. サーキュラーエコノミー施策との関係性</w:t>
      </w:r>
      <w:bookmarkEnd w:id="42"/>
    </w:p>
    <w:p>
      <w:pPr>
        <w:pStyle w:val="BlockText"/>
      </w:pPr>
      <w:r>
        <w:rPr>
          <w:b/>
        </w:rPr>
        <w:t xml:space="preserve">本節で分かること:</w:t>
      </w:r>
      <w:r>
        <w:t xml:space="preserve"> </w:t>
      </w:r>
      <w:r>
        <w:t xml:space="preserve">RE2020はEUのサーキュラーエコノミー政策とどう接続し、建材の再利用・リサイクル・EoLシナリオをどう扱うか。また制度的限界はどこか。</w:t>
      </w:r>
    </w:p>
    <w:p>
      <w:pPr>
        <w:pStyle w:val="BlockText"/>
      </w:pPr>
      <w:r>
        <w:rPr>
          <w:b/>
        </w:rPr>
        <w:t xml:space="preserve">§3からの接続:</w:t>
      </w:r>
      <w:r>
        <w:t xml:space="preserve"> </w:t>
      </w:r>
      <w:r>
        <w:t xml:space="preserve">Level(s)フレームワークは建物のライフサイクルを「入口（材料）から出口（廃棄）まで」評価することを求める。この「出口」の評価、すなわち廃棄段階（C1-C4）と「その先」の再利用・リサイクル（Dモジュール）が、サーキュラーエコノミー施策との接続点となる。</w:t>
      </w:r>
    </w:p>
    <w:p>
      <w:pPr>
        <w:pStyle w:val="Heading3"/>
      </w:pPr>
      <w:bookmarkStart w:id="43" w:name="euサーキュラーエコノミー行動計画とre2020"/>
      <w:r>
        <w:t xml:space="preserve">4.1 EUサーキュラーエコノミー行動計画とRE2020</w:t>
      </w:r>
      <w:bookmarkEnd w:id="43"/>
    </w:p>
    <w:p>
      <w:pPr>
        <w:pStyle w:val="FirstParagraph"/>
      </w:pPr>
      <w:r>
        <w:t xml:space="preserve">EU</w:t>
      </w:r>
      <w:r>
        <w:rPr>
          <w:b/>
        </w:rPr>
        <w:t xml:space="preserve">サーキュラーエコノミー行動計画（CEAP, 2020）</w:t>
      </w:r>
      <w:r>
        <w:t xml:space="preserve">は建設セクターを優先分野と位置づけ、建材のリユース・リサイクル促進と廃棄物削減を政策目標とした。RE2020はこの流れと以下の点で接続している：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CEAP目標</w:t>
            </w:r>
          </w:p>
        </w:tc>
        <w:tc>
          <w:tcPr>
            <w:tcBorders>
              <w:bottom w:val="single"/>
            </w:tcBorders>
            <w:vAlign w:val="bottom"/>
          </w:tcPr>
          <w:p>
            <w:pPr>
              <w:pStyle w:val="Compact"/>
              <w:jc w:val="left"/>
            </w:pPr>
            <w:r>
              <w:t xml:space="preserve">RE2020での対応</w:t>
            </w:r>
          </w:p>
        </w:tc>
        <w:tc>
          <w:tcPr>
            <w:tcBorders>
              <w:bottom w:val="single"/>
            </w:tcBorders>
            <w:vAlign w:val="bottom"/>
          </w:tcPr>
          <w:p>
            <w:pPr>
              <w:pStyle w:val="Compact"/>
              <w:jc w:val="left"/>
            </w:pPr>
            <w:r>
              <w:t xml:space="preserve">対応の評価</w:t>
            </w:r>
          </w:p>
        </w:tc>
      </w:tr>
      <w:tr>
        <w:tc>
          <w:p>
            <w:pPr>
              <w:pStyle w:val="Compact"/>
              <w:jc w:val="left"/>
            </w:pPr>
            <w:r>
              <w:rPr>
                <w:b/>
              </w:rPr>
              <w:t xml:space="preserve">建材の再利用促進</w:t>
            </w:r>
          </w:p>
        </w:tc>
        <w:tc>
          <w:p>
            <w:pPr>
              <w:pStyle w:val="Compact"/>
              <w:jc w:val="left"/>
            </w:pPr>
            <w:r>
              <w:t xml:space="preserve">Dモジュール（システム境界外便益）の計上可能化</w:t>
            </w:r>
          </w:p>
        </w:tc>
        <w:tc>
          <w:p>
            <w:pPr>
              <w:pStyle w:val="Compact"/>
              <w:jc w:val="left"/>
            </w:pPr>
            <w:r>
              <w:t xml:space="preserve">◎ 定量的インセンティブ付与</w:t>
            </w:r>
          </w:p>
        </w:tc>
      </w:tr>
      <w:tr>
        <w:tc>
          <w:p>
            <w:pPr>
              <w:pStyle w:val="Compact"/>
              <w:jc w:val="left"/>
            </w:pPr>
            <w:r>
              <w:rPr>
                <w:b/>
              </w:rPr>
              <w:t xml:space="preserve">廃棄物の削減</w:t>
            </w:r>
          </w:p>
        </w:tc>
        <w:tc>
          <w:p>
            <w:pPr>
              <w:pStyle w:val="Compact"/>
              <w:jc w:val="left"/>
            </w:pPr>
            <w:r>
              <w:t xml:space="preserve">C3–C4（廃棄物処理・最終処分）の必須計上</w:t>
            </w:r>
          </w:p>
        </w:tc>
        <w:tc>
          <w:p>
            <w:pPr>
              <w:pStyle w:val="Compact"/>
              <w:jc w:val="left"/>
            </w:pPr>
            <w:r>
              <w:t xml:space="preserve">○ コスト見える化</w:t>
            </w:r>
          </w:p>
        </w:tc>
      </w:tr>
      <w:tr>
        <w:tc>
          <w:p>
            <w:pPr>
              <w:pStyle w:val="Compact"/>
              <w:jc w:val="left"/>
            </w:pPr>
            <w:r>
              <w:rPr>
                <w:b/>
              </w:rPr>
              <w:t xml:space="preserve">設計段階での解体容易性</w:t>
            </w:r>
          </w:p>
        </w:tc>
        <w:tc>
          <w:p>
            <w:pPr>
              <w:pStyle w:val="Compact"/>
              <w:jc w:val="left"/>
            </w:pPr>
            <w:r>
              <w:t xml:space="preserve">C1（解体）コスト計上→設計改善インセンティブ</w:t>
            </w:r>
          </w:p>
        </w:tc>
        <w:tc>
          <w:p>
            <w:pPr>
              <w:pStyle w:val="Compact"/>
              <w:jc w:val="left"/>
            </w:pPr>
            <w:r>
              <w:t xml:space="preserve">○ 間接的効果</w:t>
            </w:r>
          </w:p>
        </w:tc>
      </w:tr>
      <w:tr>
        <w:tc>
          <w:p>
            <w:pPr>
              <w:pStyle w:val="Compact"/>
              <w:jc w:val="left"/>
            </w:pPr>
            <w:r>
              <w:rPr>
                <w:b/>
              </w:rPr>
              <w:t xml:space="preserve">リサイクル材の環境価値評価</w:t>
            </w:r>
          </w:p>
        </w:tc>
        <w:tc>
          <w:p>
            <w:pPr>
              <w:pStyle w:val="Compact"/>
              <w:jc w:val="left"/>
            </w:pPr>
            <w:r>
              <w:t xml:space="preserve">Dモジュールでのrecyclingクレジット</w:t>
            </w:r>
          </w:p>
        </w:tc>
        <w:tc>
          <w:p>
            <w:pPr>
              <w:pStyle w:val="Compact"/>
              <w:jc w:val="left"/>
            </w:pPr>
            <w:r>
              <w:t xml:space="preserve">△ 計上範囲に議論あり</w:t>
            </w:r>
          </w:p>
        </w:tc>
      </w:tr>
    </w:tbl>
    <w:p>
      <w:pPr>
        <w:pStyle w:val="Heading3"/>
      </w:pPr>
      <w:bookmarkStart w:id="44" w:name="dモジュールの位置づけと論点"/>
      <w:r>
        <w:t xml:space="preserve">4.2 Dモジュールの位置づけと論点</w:t>
      </w:r>
      <w:bookmarkEnd w:id="44"/>
    </w:p>
    <w:p>
      <w:pPr>
        <w:pStyle w:val="FirstParagraph"/>
      </w:pPr>
      <w:r>
        <w:t xml:space="preserve">RE2020においてDモジュール（システム境界外便益・負荷）は</w:t>
      </w:r>
      <w:r>
        <w:rPr>
          <w:b/>
        </w:rPr>
        <w:t xml:space="preserve">任意計上</w:t>
      </w:r>
      <w:r>
        <w:t xml:space="preserve">とされており、再利用・リサイクル・エネルギー回収等のエンドオブライフ（EoL）シナリオを定量化して計上できる。</w:t>
      </w:r>
    </w:p>
    <w:p>
      <w:pPr>
        <w:pStyle w:val="BodyText"/>
      </w:pPr>
      <w:r>
        <w:t xml:space="preserve">ただし、Dモジュールの計上はRE2020の</w:t>
      </w:r>
      <w:r>
        <w:t xml:space="preserve"> </w:t>
      </w:r>
      <m:oMath>
        <m:r>
          <m:t>I</m:t>
        </m:r>
        <m:r>
          <m:t>c</m:t>
        </m:r>
      </m:oMath>
      <w:r>
        <w:rPr>
          <w:b/>
        </w:rPr>
        <w:t xml:space="preserve"> </w:t>
      </w:r>
      <w:r>
        <w:rPr>
          <w:b/>
        </w:rPr>
        <w:t xml:space="preserve">指標の規制値判定とは切り離されている</w:t>
      </w:r>
      <w:r>
        <w:t xml:space="preserve">（すなわち、Dモジュールを計上してもseuil判定用の</w:t>
      </w:r>
      <m:oMath>
        <m:r>
          <m:t>I</m:t>
        </m:r>
        <m:r>
          <m:t>c</m:t>
        </m:r>
      </m:oMath>
      <w:r>
        <w:t xml:space="preserve">値には原則として算入されない）。これは過剰なクレジット計上による規制逃れを防ぐための制度的措置である（Cerema, 2024, §4.2; Arrêté 2021 Annexe I 条文要照合）。</w:t>
      </w:r>
    </w:p>
    <w:p>
      <w:pPr>
        <w:pStyle w:val="BodyText"/>
      </w:pPr>
      <w:r>
        <w:t xml:space="preserve">Dモジュールが事実上機能する主要シナリオ：</w:t>
      </w:r>
      <w:r>
        <w:t xml:space="preserve"> </w:t>
      </w:r>
      <w:r>
        <w:t xml:space="preserve">-</w:t>
      </w:r>
      <w:r>
        <w:t xml:space="preserve"> </w:t>
      </w:r>
      <w:r>
        <w:rPr>
          <w:b/>
        </w:rPr>
        <w:t xml:space="preserve">鉄鋼・アルミのリサイクルクレジット：</w:t>
      </w:r>
      <w:r>
        <w:t xml:space="preserve"> </w:t>
      </w:r>
      <w:r>
        <w:t xml:space="preserve">廃鉄スクラップ・廃アルミの市場価値の高さから相当のクレジットが計上可能</w:t>
      </w:r>
      <w:r>
        <w:t xml:space="preserve"> </w:t>
      </w:r>
      <w:r>
        <w:t xml:space="preserve">-</w:t>
      </w:r>
      <w:r>
        <w:t xml:space="preserve"> </w:t>
      </w:r>
      <w:r>
        <w:rPr>
          <w:b/>
        </w:rPr>
        <w:t xml:space="preserve">木材のEoLエネルギー回収：</w:t>
      </w:r>
      <w:r>
        <w:t xml:space="preserve"> </w:t>
      </w:r>
      <w:r>
        <w:t xml:space="preserve">廃材の熱回収を回避排出として計上（ただし動的LCAの放出タイミングとの整合要件あり）</w:t>
      </w:r>
      <w:r>
        <w:t xml:space="preserve"> </w:t>
      </w:r>
      <w:r>
        <w:t xml:space="preserve">-</w:t>
      </w:r>
      <w:r>
        <w:t xml:space="preserve"> </w:t>
      </w:r>
      <w:r>
        <w:rPr>
          <w:b/>
        </w:rPr>
        <w:t xml:space="preserve">CLTの再利用シナリオ：</w:t>
      </w:r>
      <w:r>
        <w:t xml:space="preserve"> </w:t>
      </w:r>
      <w:r>
        <w:t xml:space="preserve">建物解体後のCLT部材再利用。排出タイミングが後ろ倒しになり、動的LCAで追加クレジットが発生する可能性がある</w:t>
      </w:r>
    </w:p>
    <w:p>
      <w:pPr>
        <w:pStyle w:val="Heading3"/>
      </w:pPr>
      <w:bookmarkStart w:id="45" w:name="廃棄解体段階c1c4の詳細"/>
      <w:r>
        <w:t xml:space="preserve">4.3 廃棄・解体段階（C1–C4）の詳細</w:t>
      </w:r>
      <w:bookmarkEnd w:id="45"/>
    </w:p>
    <w:p>
      <w:pPr>
        <w:pStyle w:val="FirstParagraph"/>
      </w:pPr>
      <w:r>
        <w:t xml:space="preserve">RE2020が規制する廃棄段階モジュールの算定内容：</w:t>
      </w:r>
    </w:p>
    <w:tbl>
      <w:tblPr>
        <w:tblStyle w:val="Table"/>
        <w:tblW w:type="pct" w:w="0.0"/>
        <w:tblLook w:firstRow="1"/>
      </w:tblPr>
      <w:tblGrid/>
      <w:tr>
        <w:trPr>
          <w:cnfStyle w:firstRow="1"/>
        </w:trPr>
        <w:tc>
          <w:tcPr>
            <w:tcBorders>
              <w:bottom w:val="single"/>
            </w:tcBorders>
            <w:vAlign w:val="bottom"/>
          </w:tcPr>
          <w:p>
            <w:pPr>
              <w:pStyle w:val="Compact"/>
              <w:jc w:val="left"/>
            </w:pPr>
            <w:r>
              <w:t xml:space="preserve">モジュール</w:t>
            </w:r>
          </w:p>
        </w:tc>
        <w:tc>
          <w:tcPr>
            <w:tcBorders>
              <w:bottom w:val="single"/>
            </w:tcBorders>
            <w:vAlign w:val="bottom"/>
          </w:tcPr>
          <w:p>
            <w:pPr>
              <w:pStyle w:val="Compact"/>
              <w:jc w:val="left"/>
            </w:pPr>
            <w:r>
              <w:t xml:space="preserve">算定内容</w:t>
            </w:r>
          </w:p>
        </w:tc>
        <w:tc>
          <w:tcPr>
            <w:tcBorders>
              <w:bottom w:val="single"/>
            </w:tcBorders>
            <w:vAlign w:val="bottom"/>
          </w:tcPr>
          <w:p>
            <w:pPr>
              <w:pStyle w:val="Compact"/>
              <w:jc w:val="left"/>
            </w:pPr>
            <w:r>
              <w:t xml:space="preserve">木質建材特有の考慮事項</w:t>
            </w:r>
          </w:p>
        </w:tc>
      </w:tr>
      <w:tr>
        <w:tc>
          <w:p>
            <w:pPr>
              <w:pStyle w:val="Compact"/>
              <w:jc w:val="left"/>
            </w:pPr>
            <w:r>
              <w:rPr>
                <w:b/>
              </w:rPr>
              <w:t xml:space="preserve">C1（解体）</w:t>
            </w:r>
          </w:p>
        </w:tc>
        <w:tc>
          <w:p>
            <w:pPr>
              <w:pStyle w:val="Compact"/>
              <w:jc w:val="left"/>
            </w:pPr>
            <w:r>
              <w:t xml:space="preserve">解体機械の燃料消費GHG</w:t>
            </w:r>
          </w:p>
        </w:tc>
        <w:tc>
          <w:p>
            <w:pPr>
              <w:pStyle w:val="Compact"/>
              <w:jc w:val="left"/>
            </w:pPr>
            <w:r>
              <w:t xml:space="preserve">木造は解体コスト・排出量が概して低い</w:t>
            </w:r>
          </w:p>
        </w:tc>
      </w:tr>
      <w:tr>
        <w:tc>
          <w:p>
            <w:pPr>
              <w:pStyle w:val="Compact"/>
              <w:jc w:val="left"/>
            </w:pPr>
            <w:r>
              <w:rPr>
                <w:b/>
              </w:rPr>
              <w:t xml:space="preserve">C2（輸送）</w:t>
            </w:r>
          </w:p>
        </w:tc>
        <w:tc>
          <w:p>
            <w:pPr>
              <w:pStyle w:val="Compact"/>
              <w:jc w:val="left"/>
            </w:pPr>
            <w:r>
              <w:t xml:space="preserve">廃棄物の処理施設への輸送GHG</w:t>
            </w:r>
          </w:p>
        </w:tc>
        <w:tc>
          <w:p>
            <w:pPr>
              <w:pStyle w:val="Compact"/>
              <w:jc w:val="left"/>
            </w:pPr>
            <w:r>
              <w:t xml:space="preserve">廃材の種類別輸送距離</w:t>
            </w:r>
          </w:p>
        </w:tc>
      </w:tr>
      <w:tr>
        <w:tc>
          <w:p>
            <w:pPr>
              <w:pStyle w:val="Compact"/>
              <w:jc w:val="left"/>
            </w:pPr>
            <w:r>
              <w:rPr>
                <w:b/>
              </w:rPr>
              <w:t xml:space="preserve">C3（廃棄物処理）</w:t>
            </w:r>
          </w:p>
        </w:tc>
        <w:tc>
          <w:p>
            <w:pPr>
              <w:pStyle w:val="Compact"/>
              <w:jc w:val="left"/>
            </w:pPr>
            <w:r>
              <w:t xml:space="preserve">廃材の分別・処理GHG</w:t>
            </w:r>
          </w:p>
        </w:tc>
        <w:tc>
          <w:p>
            <w:pPr>
              <w:pStyle w:val="Compact"/>
              <w:jc w:val="left"/>
            </w:pPr>
            <w:r>
              <w:t xml:space="preserve">木材の燃焼・リサイクル工程</w:t>
            </w:r>
          </w:p>
        </w:tc>
      </w:tr>
      <w:tr>
        <w:tc>
          <w:p>
            <w:pPr>
              <w:pStyle w:val="Compact"/>
              <w:jc w:val="left"/>
            </w:pPr>
            <w:r>
              <w:rPr>
                <w:b/>
              </w:rPr>
              <w:t xml:space="preserve">C4（最終処分）</w:t>
            </w:r>
          </w:p>
        </w:tc>
        <w:tc>
          <w:p>
            <w:pPr>
              <w:pStyle w:val="Compact"/>
              <w:jc w:val="left"/>
            </w:pPr>
            <w:r>
              <w:t xml:space="preserve">埋立地・焼却施設でのGHG</w:t>
            </w:r>
          </w:p>
        </w:tc>
        <w:tc>
          <w:p>
            <w:pPr>
              <w:pStyle w:val="Compact"/>
              <w:jc w:val="left"/>
            </w:pPr>
            <w:r>
              <w:t xml:space="preserve">バイオジェニックCO₂放出のタイミング（動的LCAの核心）</w:t>
            </w:r>
          </w:p>
        </w:tc>
      </w:tr>
    </w:tbl>
    <w:p>
      <w:pPr>
        <w:pStyle w:val="BodyText"/>
      </w:pPr>
      <w:r>
        <w:t xml:space="preserve">特にC4モジュールにおけるバイオジェニックCO₂放出の評価が、動的評価上の貯蔵便益の「回収」に当たる。RE2020線形係数（0.578）が適用されることで、木材がライフサイクル終了時に炭素を放出する影響が約42%割り引かれる。</w:t>
      </w:r>
    </w:p>
    <w:p>
      <w:pPr>
        <w:pStyle w:val="Heading3"/>
      </w:pPr>
      <w:bookmarkStart w:id="46" w:name="サーキュラーエコノミー観点でのre2020の限界と今後"/>
      <w:r>
        <w:t xml:space="preserve">4.4 サーキュラーエコノミー観点でのRE2020の限界と今後</w:t>
      </w:r>
      <w:bookmarkEnd w:id="46"/>
    </w:p>
    <w:p>
      <w:pPr>
        <w:pStyle w:val="FirstParagraph"/>
      </w:pPr>
      <w:r>
        <w:t xml:space="preserve">RE2020のサーキュラーエコノミー対応には以下の課題が残る（Rivaton, 2025; Ventura, 2022）：</w:t>
      </w:r>
    </w:p>
    <w:p>
      <w:pPr>
        <w:numPr>
          <w:ilvl w:val="0"/>
          <w:numId w:val="1007"/>
        </w:numPr>
        <w:pStyle w:val="Compact"/>
      </w:pPr>
      <w:r>
        <w:rPr>
          <w:b/>
        </w:rPr>
        <w:t xml:space="preserve">EoLシナリオの仮定依存性：</w:t>
      </w:r>
      <w:r>
        <w:t xml:space="preserve"> </w:t>
      </w:r>
      <w:r>
        <w:t xml:space="preserve">CLT等の再利用率は設計時に仮定するが、実際の再利用率は不明。楽観的仮定によるクレジット過大評価リスクがある。</w:t>
      </w:r>
    </w:p>
    <w:p>
      <w:pPr>
        <w:numPr>
          <w:ilvl w:val="0"/>
          <w:numId w:val="1007"/>
        </w:numPr>
        <w:pStyle w:val="Compact"/>
      </w:pPr>
      <w:r>
        <w:rPr>
          <w:b/>
        </w:rPr>
        <w:t xml:space="preserve">生物由来炭素の持続可能性証明：</w:t>
      </w:r>
      <w:r>
        <w:t xml:space="preserve"> </w:t>
      </w:r>
      <w:r>
        <w:t xml:space="preserve">FSC・PEFCによる持続可能な森林管理（SFM）証明と連動しているが、植林速度・森林炭素ストックの変動が考慮されていない（EN 15804+A2の−1/+1アプローチの仮定）。</w:t>
      </w:r>
    </w:p>
    <w:p>
      <w:pPr>
        <w:numPr>
          <w:ilvl w:val="0"/>
          <w:numId w:val="1007"/>
        </w:numPr>
        <w:pStyle w:val="Compact"/>
      </w:pPr>
      <w:r>
        <w:rPr>
          <w:b/>
        </w:rPr>
        <w:t xml:space="preserve">建設廃棄物のデータ欠如：</w:t>
      </w:r>
      <w:r>
        <w:t xml:space="preserve"> </w:t>
      </w:r>
      <w:r>
        <w:t xml:space="preserve">現状のINIESデータは製品レベルのEPDが中心で、施工廃棄物・端材等のフロー情報が不十分。</w:t>
      </w:r>
    </w:p>
    <w:p>
      <w:pPr>
        <w:numPr>
          <w:ilvl w:val="0"/>
          <w:numId w:val="1007"/>
        </w:numPr>
        <w:pStyle w:val="Compact"/>
      </w:pPr>
      <w:r>
        <w:rPr>
          <w:b/>
        </w:rPr>
        <w:t xml:space="preserve">DモジュールとIc指標の分離：</w:t>
      </w:r>
      <w:r>
        <w:t xml:space="preserve"> </w:t>
      </w:r>
      <w:r>
        <w:t xml:space="preserve">リサイクルのインセンティブが規制値判定に直接反映されないため、設計者のサーキュラー設計への誘因が弱い。</w:t>
      </w:r>
    </w:p>
    <w:p>
      <w:pPr>
        <w:pStyle w:val="FirstParagraph"/>
      </w:pPr>
      <w:r>
        <w:t xml:space="preserve">これらの課題は2028年フェーズ3の係数見直しおよびEN 15978次期改訂の主要議題となっている。バイオジェニック炭素の会計方法論については、Hoxha et al.（2020）が建物LCAにおける各種アプローチ（EN 15804, PAS 2050, GHG Protocol等）の批判的比較を行っており、再利用シナリオ設定の重要性を指摘している。また木材EoLのバイオジェニックCO₂放出タイミングについてはCherubini et al.（2011）が定量評価の基礎的枠組みを示している。</w:t>
      </w:r>
    </w:p>
    <w:p>
      <w:r>
        <w:pict>
          <v:rect style="width:0;height:1.5pt" o:hralign="center" o:hrstd="t" o:hr="t"/>
        </w:pict>
      </w:r>
    </w:p>
    <w:p>
      <w:pPr>
        <w:pStyle w:val="Heading2"/>
      </w:pPr>
      <w:bookmarkStart w:id="47" w:name="総合考察と日本への示唆"/>
      <w:r>
        <w:t xml:space="preserve">5. 総合考察と日本への示唆</w:t>
      </w:r>
      <w:bookmarkEnd w:id="47"/>
    </w:p>
    <w:p>
      <w:pPr>
        <w:pStyle w:val="Heading3"/>
      </w:pPr>
      <w:bookmarkStart w:id="48" w:name="re2020の制度的意義の総括"/>
      <w:r>
        <w:t xml:space="preserve">5.1 RE2020の制度的意義の総括</w:t>
      </w:r>
      <w:bookmarkEnd w:id="48"/>
    </w:p>
    <w:p>
      <w:pPr>
        <w:pStyle w:val="FirstParagraph"/>
      </w:pPr>
      <w:r>
        <w:t xml:space="preserve">本調査（調査項目①）から得られた主要知見を以下に整理する。</w:t>
      </w:r>
    </w:p>
    <w:p>
      <w:pPr>
        <w:pStyle w:val="BodyText"/>
      </w:pPr>
      <w:r>
        <w:rPr>
          <w:b/>
        </w:rPr>
        <w:t xml:space="preserve">① RE2020は建築LCAの「時間問題」を制度化した最初の試み：</w:t>
      </w:r>
      <w:r>
        <w:br/>
      </w:r>
      <w:r>
        <w:t xml:space="preserve">静的GWP100が持つ「全排出を</w:t>
      </w:r>
      <w:r>
        <w:t xml:space="preserve"> </w:t>
      </w:r>
      <m:oMath>
        <m:r>
          <m:t>t</m:t>
        </m:r>
        <m:r>
          <m:t>=</m:t>
        </m:r>
        <m:r>
          <m:t>0</m:t>
        </m:r>
      </m:oMath>
      <w:r>
        <w:t xml:space="preserve"> </w:t>
      </w:r>
      <w:r>
        <w:t xml:space="preserve">に集約する」という構造的限界を、線形逓減係数（</w:t>
      </w:r>
      <m:oMath>
        <m:r>
          <m:t>t</m:t>
        </m:r>
        <m:r>
          <m:t>=</m:t>
        </m:r>
        <m:r>
          <m:t>50</m:t>
        </m:r>
      </m:oMath>
      <w:r>
        <w:t xml:space="preserve"> </w:t>
      </w:r>
      <w:r>
        <w:t xml:space="preserve">年で0.578）という実務的手法で克服した。完全に物理的に正確ではないが（Ventura, 2022）、制度的実現可能性と科学的合理性のバランスを取った設計である。</w:t>
      </w:r>
    </w:p>
    <w:p>
      <w:pPr>
        <w:pStyle w:val="BodyText"/>
      </w:pPr>
      <w:r>
        <w:rPr>
          <w:b/>
        </w:rPr>
        <w:t xml:space="preserve">② 指標体系の相補性：</w:t>
      </w:r>
      <w:r>
        <w:br/>
      </w:r>
      <w:r>
        <w:t xml:space="preserve">RE2020の6つの規制指標は、エネルギー（Bbio・Cep・Cep,nr）・炭素（Ic construction・Ic énergie）・夏季快適性（DH）という独立したが相互関連する3次元を評価する。特にIc constructionとCep,nrが同時最適化の対象となることで、「省エネのためにエンボディド炭素が増加する」というトレードオフ（例：断熱材の大量使用）を制度的に可視化した。</w:t>
      </w:r>
    </w:p>
    <w:p>
      <w:pPr>
        <w:pStyle w:val="BodyText"/>
      </w:pPr>
      <w:r>
        <w:rPr>
          <w:b/>
        </w:rPr>
        <w:t xml:space="preserve">③ 段階的施行の政策的合理性：</w:t>
      </w:r>
      <w:r>
        <w:br/>
      </w:r>
      <w:r>
        <w:t xml:space="preserve">2022年フェーズ1から2031年フェーズ4への段階的厳格化は、①産業界のデータ整備・技術適応期間の確保、②規制値設定のデータ蓄積、③政治的合意形成という複合目的を持つ。E+C-実験プログラム（2016〜2021）での実証実験（公開観測データベースに約830事業が登録）がこの段階設計を可能にした。</w:t>
      </w:r>
    </w:p>
    <w:p>
      <w:pPr>
        <w:pStyle w:val="Heading3"/>
      </w:pPr>
      <w:bookmarkStart w:id="49" w:name="日本の建築lca制度化への示唆"/>
      <w:r>
        <w:t xml:space="preserve">5.2 日本の建築LCA制度化への示唆</w:t>
      </w:r>
      <w:bookmarkEnd w:id="49"/>
    </w:p>
    <w:tbl>
      <w:tblPr>
        <w:tblStyle w:val="Table"/>
        <w:tblW w:type="pct" w:w="5000.0"/>
        <w:tblLook w:firstRow="1"/>
      </w:tblPr>
      <w:tblGrid>
        <w:gridCol w:w="2030"/>
        <w:gridCol w:w="1218"/>
        <w:gridCol w:w="1624"/>
        <w:gridCol w:w="3046"/>
      </w:tblGrid>
      <w:tr>
        <w:trPr>
          <w:cnfStyle w:firstRow="1"/>
        </w:trPr>
        <w:tc>
          <w:tcPr>
            <w:tcBorders>
              <w:bottom w:val="single"/>
            </w:tcBorders>
            <w:vAlign w:val="bottom"/>
          </w:tcPr>
          <w:p>
            <w:pPr>
              <w:pStyle w:val="Compact"/>
              <w:jc w:val="left"/>
            </w:pPr>
            <w:r>
              <w:t xml:space="preserve">示唆事項</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優先度</w:t>
            </w:r>
          </w:p>
        </w:tc>
        <w:tc>
          <w:tcPr>
            <w:tcBorders>
              <w:bottom w:val="single"/>
            </w:tcBorders>
            <w:vAlign w:val="bottom"/>
          </w:tcPr>
          <w:p>
            <w:pPr>
              <w:pStyle w:val="Compact"/>
              <w:jc w:val="left"/>
            </w:pPr>
            <w:r>
              <w:t xml:space="preserve">優先とする根拠</w:t>
            </w:r>
          </w:p>
        </w:tc>
      </w:tr>
      <w:tr>
        <w:tc>
          <w:p>
            <w:pPr>
              <w:pStyle w:val="Compact"/>
              <w:jc w:val="left"/>
            </w:pPr>
            <w:r>
              <w:rPr>
                <w:b/>
              </w:rPr>
              <w:t xml:space="preserve">① 時間地平の合意形成</w:t>
            </w:r>
          </w:p>
        </w:tc>
        <w:tc>
          <w:p>
            <w:pPr>
              <w:pStyle w:val="Compact"/>
              <w:jc w:val="left"/>
            </w:pPr>
            <w:r>
              <w:t xml:space="preserve">何年を評価期間（DO）とするかが木材優位の度合いを決定。DO=100年 vs 50年で評価差が2倍近く変わる。</w:t>
            </w:r>
          </w:p>
        </w:tc>
        <w:tc>
          <w:p>
            <w:pPr>
              <w:pStyle w:val="Compact"/>
              <w:jc w:val="left"/>
            </w:pPr>
            <w:r>
              <w:t xml:space="preserve">★★★ 最高</w:t>
            </w:r>
          </w:p>
        </w:tc>
        <w:tc>
          <w:p>
            <w:pPr>
              <w:pStyle w:val="Compact"/>
              <w:jc w:val="left"/>
            </w:pPr>
            <w:r>
              <w:t xml:space="preserve">制度設計の根本パラメータ。先に合意せず規制値だけ議論しても無意味（フランスの論争が証明）。</w:t>
            </w:r>
          </w:p>
        </w:tc>
      </w:tr>
      <w:tr>
        <w:tc>
          <w:p>
            <w:pPr>
              <w:pStyle w:val="Compact"/>
              <w:jc w:val="left"/>
            </w:pPr>
            <w:r>
              <w:rPr>
                <w:b/>
              </w:rPr>
              <w:t xml:space="preserve">② 国際標準化議論への早期参画と国内規格整備の準備</w:t>
            </w:r>
          </w:p>
        </w:tc>
        <w:tc>
          <w:p>
            <w:pPr>
              <w:pStyle w:val="Compact"/>
              <w:jc w:val="left"/>
            </w:pPr>
            <w:r>
              <w:t xml:space="preserve">動的バイオジェニック炭素評価の国際規格は未成立。CEN/TC 350（EN 15978/EN 15804改訂）等で標準化議論が進行中であり、規格成立後の後追いでは国際EPD比較・輸出材評価で不利。</w:t>
            </w:r>
          </w:p>
        </w:tc>
        <w:tc>
          <w:p>
            <w:pPr>
              <w:pStyle w:val="Compact"/>
              <w:jc w:val="left"/>
            </w:pPr>
            <w:r>
              <w:t xml:space="preserve">★★★ 最高</w:t>
            </w:r>
          </w:p>
        </w:tc>
        <w:tc>
          <w:p>
            <w:pPr>
              <w:pStyle w:val="Compact"/>
              <w:jc w:val="left"/>
            </w:pPr>
            <w:r>
              <w:t xml:space="preserve">国内規格・ガイドラインの整備には数年を要する。国際動向に間に合わせるには2026年からの動向参画・体制整備が必要。</w:t>
            </w:r>
          </w:p>
        </w:tc>
      </w:tr>
      <w:tr>
        <w:tc>
          <w:p>
            <w:pPr>
              <w:pStyle w:val="Compact"/>
              <w:jc w:val="left"/>
            </w:pPr>
            <w:r>
              <w:rPr>
                <w:b/>
              </w:rPr>
              <w:t xml:space="preserve">③ 建材LCAデータベース整備</w:t>
            </w:r>
          </w:p>
        </w:tc>
        <w:tc>
          <w:p>
            <w:pPr>
              <w:pStyle w:val="Compact"/>
              <w:jc w:val="left"/>
            </w:pPr>
            <w:r>
              <w:t xml:space="preserve">IDEAへの時系列フロー（排出タイミング情報）の追加が最低要件。INIESに相当する建材環境DBが未整備では計算不可。</w:t>
            </w:r>
          </w:p>
        </w:tc>
        <w:tc>
          <w:p>
            <w:pPr>
              <w:pStyle w:val="Compact"/>
              <w:jc w:val="left"/>
            </w:pPr>
            <w:r>
              <w:t xml:space="preserve">★★★ 最高</w:t>
            </w:r>
          </w:p>
        </w:tc>
        <w:tc>
          <w:p>
            <w:pPr>
              <w:pStyle w:val="Compact"/>
              <w:jc w:val="left"/>
            </w:pPr>
            <w:r>
              <w:t xml:space="preserve">データ基盤なしでは動的LCAは机上論。制度に先行してDB整備が必要。</w:t>
            </w:r>
          </w:p>
        </w:tc>
      </w:tr>
      <w:tr>
        <w:tc>
          <w:p>
            <w:pPr>
              <w:pStyle w:val="Compact"/>
              <w:jc w:val="left"/>
            </w:pPr>
            <w:r>
              <w:rPr>
                <w:b/>
              </w:rPr>
              <w:t xml:space="preserve">④ 実証プログラムの先行実施</w:t>
            </w:r>
          </w:p>
        </w:tc>
        <w:tc>
          <w:p>
            <w:pPr>
              <w:pStyle w:val="Compact"/>
              <w:jc w:val="left"/>
            </w:pPr>
            <w:r>
              <w:t xml:space="preserve">E+C-相当の任意参加型実証実験を300〜500棟規模で先行実施し、国内の規制値設定根拠を蓄積。</w:t>
            </w:r>
          </w:p>
        </w:tc>
        <w:tc>
          <w:p>
            <w:pPr>
              <w:pStyle w:val="Compact"/>
              <w:jc w:val="left"/>
            </w:pPr>
            <w:r>
              <w:t xml:space="preserve">★★ 高</w:t>
            </w:r>
          </w:p>
        </w:tc>
        <w:tc>
          <w:p>
            <w:pPr>
              <w:pStyle w:val="Compact"/>
              <w:jc w:val="left"/>
            </w:pPr>
            <w:r>
              <w:t xml:space="preserve">フランスは10年の実証なしに規制化せず。日本も証拠基盤なしの規制化は反発・混乱を招くリスク大。</w:t>
            </w:r>
          </w:p>
        </w:tc>
      </w:tr>
      <w:tr>
        <w:tc>
          <w:p>
            <w:pPr>
              <w:pStyle w:val="Compact"/>
              <w:jc w:val="left"/>
            </w:pPr>
            <w:r>
              <w:rPr>
                <w:b/>
              </w:rPr>
              <w:t xml:space="preserve">⑤ Dモジュールの制度設計</w:t>
            </w:r>
          </w:p>
        </w:tc>
        <w:tc>
          <w:p>
            <w:pPr>
              <w:pStyle w:val="Compact"/>
              <w:jc w:val="left"/>
            </w:pPr>
            <w:r>
              <w:t xml:space="preserve">リサイクルクレジットを規制値判定に含めるかは政策選択。日本では木材再利用促進（林野庁方針）との整合が重要。</w:t>
            </w:r>
          </w:p>
        </w:tc>
        <w:tc>
          <w:p>
            <w:pPr>
              <w:pStyle w:val="Compact"/>
              <w:jc w:val="left"/>
            </w:pPr>
            <w:r>
              <w:t xml:space="preserve">★★ 中</w:t>
            </w:r>
          </w:p>
        </w:tc>
        <w:tc>
          <w:p>
            <w:pPr>
              <w:pStyle w:val="Compact"/>
              <w:jc w:val="left"/>
            </w:pPr>
            <w:r>
              <w:t xml:space="preserve">制度の根本設計ではないが、木材産業インセンティブ設計に影響するため早期に方針を整理すべき。</w:t>
            </w:r>
          </w:p>
        </w:tc>
      </w:tr>
    </w:tbl>
    <w:p>
      <w:r>
        <w:pict>
          <v:rect style="width:0;height:1.5pt" o:hralign="center" o:hrstd="t" o:hr="t"/>
        </w:pict>
      </w:r>
    </w:p>
    <w:p>
      <w:pPr>
        <w:pStyle w:val="Heading2"/>
      </w:pPr>
      <w:bookmarkStart w:id="50" w:name="参考文献"/>
      <w:r>
        <w:t xml:space="preserve">6. 参考文献</w:t>
      </w:r>
      <w:bookmarkEnd w:id="50"/>
    </w:p>
    <w:p>
      <w:pPr>
        <w:numPr>
          <w:ilvl w:val="0"/>
          <w:numId w:val="1008"/>
        </w:numPr>
        <w:pStyle w:val="Compact"/>
      </w:pPr>
      <w:r>
        <w:t xml:space="preserve">Arrêté du 4 août 2021 relatif aux exigences de performance énergétique et environnementale des constructions de bâtiments en France métropolitaine et fixant les méthodes de calcul prévues à l’article R. 172-6 du code de la construction et de l’habitation. Journal officiel de la République française.</w:t>
      </w:r>
    </w:p>
    <w:p>
      <w:pPr>
        <w:numPr>
          <w:ilvl w:val="0"/>
          <w:numId w:val="1008"/>
        </w:numPr>
        <w:pStyle w:val="Compact"/>
      </w:pPr>
      <w:r>
        <w:t xml:space="preserve">Benoist, A. (2009). Éléments d’adaptation de la méthodologie d’analyse de cycle de vie aux carburants végétaux : cas de la première génération. Thèse de doctorat, École Nationale Supérieure des Mines de Paris (Mines ParisTech). [書誌確認済み。RE2020の重み係数は本論文の表IV.7（168頁）の動的特性化値に基づくことを Univ Gustave Eiffel の技術ノートが明示。対応関係確認済み]</w:t>
      </w:r>
    </w:p>
    <w:p>
      <w:pPr>
        <w:numPr>
          <w:ilvl w:val="0"/>
          <w:numId w:val="1008"/>
        </w:numPr>
        <w:pStyle w:val="Compact"/>
      </w:pPr>
      <w:r>
        <w:t xml:space="preserve">Cerema (2024).</w:t>
      </w:r>
      <w:r>
        <w:t xml:space="preserve"> </w:t>
      </w:r>
      <w:r>
        <w:rPr>
          <w:i/>
        </w:rPr>
        <w:t xml:space="preserve">Guide RE2020 — Version janvier 2024</w:t>
      </w:r>
      <w:r>
        <w:t xml:space="preserve">. Centre d’études et d’expertise sur les risques, l’environnement, la mobilité et l’aménagement. Paris. [§1.1, §1.3, §4.2]</w:t>
      </w:r>
    </w:p>
    <w:p>
      <w:pPr>
        <w:numPr>
          <w:ilvl w:val="0"/>
          <w:numId w:val="1008"/>
        </w:numPr>
        <w:pStyle w:val="Compact"/>
      </w:pPr>
      <w:r>
        <w:t xml:space="preserve">CSTB (2022). Outil Elodie: Logiciel d’aide à l’Analyse du Cycle de Vie des bâtiments. Centre Scientifique et Technique du Bâtiment. Paris.</w:t>
      </w:r>
    </w:p>
    <w:p>
      <w:pPr>
        <w:numPr>
          <w:ilvl w:val="0"/>
          <w:numId w:val="1008"/>
        </w:numPr>
        <w:pStyle w:val="Compact"/>
      </w:pPr>
      <w:r>
        <w:t xml:space="preserve">Décret n°2021-1004 du 29 juillet 2021 relatif aux exigences de performance énergétique et environnementale des constructions de bâtiments en France métropolitaine. JORF du 30 juillet 2021.</w:t>
      </w:r>
    </w:p>
    <w:p>
      <w:pPr>
        <w:numPr>
          <w:ilvl w:val="0"/>
          <w:numId w:val="1008"/>
        </w:numPr>
        <w:pStyle w:val="Compact"/>
      </w:pPr>
      <w:r>
        <w:t xml:space="preserve">DHUP (2021). Guide d’utilisation de la RE2020: Exigences environnementales. Direction de l’Habitat, de l’Urbanisme et des Paysages. Paris.</w:t>
      </w:r>
    </w:p>
    <w:p>
      <w:pPr>
        <w:numPr>
          <w:ilvl w:val="0"/>
          <w:numId w:val="1008"/>
        </w:numPr>
        <w:pStyle w:val="Compact"/>
      </w:pPr>
      <w:r>
        <w:t xml:space="preserve">EN 15804+A2 (2019). Sustainability of construction works — Environmental product declarations — Core rules for the product category of construction products. CEN, Brussels.</w:t>
      </w:r>
    </w:p>
    <w:p>
      <w:pPr>
        <w:numPr>
          <w:ilvl w:val="0"/>
          <w:numId w:val="1008"/>
        </w:numPr>
        <w:pStyle w:val="Compact"/>
      </w:pPr>
      <w:r>
        <w:t xml:space="preserve">EN 15978 (2011). Sustainability of construction works — Assessment of environmental performance of buildings — Calculation method. CEN, Brussels.</w:t>
      </w:r>
    </w:p>
    <w:p>
      <w:pPr>
        <w:numPr>
          <w:ilvl w:val="0"/>
          <w:numId w:val="1008"/>
        </w:numPr>
        <w:pStyle w:val="Compact"/>
      </w:pPr>
      <w:r>
        <w:t xml:space="preserve">European Commission (2020). Level(s) — A common EU framework of core sustainability indicators for office and residential buildings. European Commission, Brussels.</w:t>
      </w:r>
    </w:p>
    <w:p>
      <w:pPr>
        <w:numPr>
          <w:ilvl w:val="0"/>
          <w:numId w:val="1008"/>
        </w:numPr>
        <w:pStyle w:val="Compact"/>
      </w:pPr>
      <w:r>
        <w:t xml:space="preserve">European Commission (2020). A New Circular Economy Action Plan. COM(2020) 98 final. European Commission, Brussels.</w:t>
      </w:r>
    </w:p>
    <w:p>
      <w:pPr>
        <w:numPr>
          <w:ilvl w:val="0"/>
          <w:numId w:val="1008"/>
        </w:numPr>
        <w:pStyle w:val="Compact"/>
      </w:pPr>
      <w:r>
        <w:t xml:space="preserve">European Parliament (2024). Directive (EU) 2024/1275 on the Energy Performance of Buildings (recast). Official Journal of the European Union.</w:t>
      </w:r>
    </w:p>
    <w:p>
      <w:pPr>
        <w:numPr>
          <w:ilvl w:val="0"/>
          <w:numId w:val="1008"/>
        </w:numPr>
        <w:pStyle w:val="Compact"/>
      </w:pPr>
      <w:r>
        <w:t xml:space="preserve">ISO 21931-1 (2022). Sustainability in buildings and civil engineering works — Framework for methods of assessment of the environmental, social and economic performance of construction works as a basis for sustainability assessment — Part 1: Buildings. ISO, Geneva. [建物持続可能性評価の枠組み規格（動的LCAは未規定）]</w:t>
      </w:r>
    </w:p>
    <w:p>
      <w:pPr>
        <w:numPr>
          <w:ilvl w:val="0"/>
          <w:numId w:val="1008"/>
        </w:numPr>
        <w:pStyle w:val="Compact"/>
      </w:pPr>
      <w:r>
        <w:t xml:space="preserve">Levasseur, A., Lesage, P., Margni, M., Deschênes, L., &amp; Samson, R. (2010). Considering time in LCA: Dynamic LCA and its application to global warming impact assessments.</w:t>
      </w:r>
      <w:r>
        <w:t xml:space="preserve"> </w:t>
      </w:r>
      <w:r>
        <w:rPr>
          <w:i/>
        </w:rPr>
        <w:t xml:space="preserve">Environmental Science &amp; Technology</w:t>
      </w:r>
      <w:r>
        <w:t xml:space="preserve">, 44(8), 3169–3174.</w:t>
      </w:r>
    </w:p>
    <w:p>
      <w:pPr>
        <w:numPr>
          <w:ilvl w:val="0"/>
          <w:numId w:val="1008"/>
        </w:numPr>
        <w:pStyle w:val="Compact"/>
      </w:pPr>
      <w:r>
        <w:t xml:space="preserve">Rivaton, R. (2025).</w:t>
      </w:r>
      <w:r>
        <w:t xml:space="preserve"> </w:t>
      </w:r>
      <w:r>
        <w:rPr>
          <w:i/>
        </w:rPr>
        <w:t xml:space="preserve">Rapport d’évaluation de la RE2020</w:t>
      </w:r>
      <w:r>
        <w:t xml:space="preserve">（23提言）. 2025年7月10日、Létard住宅担当大臣に提出. https://www.ecologie.gouv.fr/sites/default/files/documents/10.07.2025_Rapport__Robin_Rivaton_RE2020.pdf [書誌確認済み]</w:t>
      </w:r>
    </w:p>
    <w:p>
      <w:pPr>
        <w:numPr>
          <w:ilvl w:val="0"/>
          <w:numId w:val="1008"/>
        </w:numPr>
        <w:pStyle w:val="Compact"/>
      </w:pPr>
      <w:r>
        <w:t xml:space="preserve">Solinnen (2018). Rapport sur les méthodes de calcul des impacts environnementaux — Coefficient dynamique du bilan carbone. Rapport technique pour la DHUP. Paris. [RE2020動的係数がSolinnenの手法・報告書に基づくことは Université Gustave Eiffel の公開ノート（DHUP情報として記載）で裏付け済み。報告書の正確な書誌・年は未確認]</w:t>
      </w:r>
    </w:p>
    <w:p>
      <w:pPr>
        <w:numPr>
          <w:ilvl w:val="0"/>
          <w:numId w:val="1008"/>
        </w:numPr>
        <w:pStyle w:val="Compact"/>
      </w:pPr>
      <w:r>
        <w:t xml:space="preserve">Université Gustave Eiffel.</w:t>
      </w:r>
      <w:r>
        <w:t xml:space="preserve"> </w:t>
      </w:r>
      <w:r>
        <w:rPr>
          <w:i/>
        </w:rPr>
        <w:t xml:space="preserve">Recommandations pour l’introduction de l’Analyse de Cycle de Vie dynamique dans la RE2020</w:t>
      </w:r>
      <w:r>
        <w:t xml:space="preserve"> </w:t>
      </w:r>
      <w:r>
        <w:t xml:space="preserve">(note publique). https://www.univ-gustave-eiffel.fr/fileadmin/UniversiteGustaveEiffel/REP_Universite/Contributeurs/APP/Note_Univ_Gustave_Eiffel_Analyse_du_Cycle_de_Vie_pour_la_RE2020.pdf</w:t>
      </w:r>
    </w:p>
    <w:p>
      <w:pPr>
        <w:numPr>
          <w:ilvl w:val="0"/>
          <w:numId w:val="1008"/>
        </w:numPr>
        <w:pStyle w:val="Compact"/>
      </w:pPr>
      <w:r>
        <w:t xml:space="preserve">Peñaloza, D., Erlandsson, M., &amp; Falk, A. (2016). Exploring the climate impact effects of increased use of bio-based materials in buildings.</w:t>
      </w:r>
      <w:r>
        <w:t xml:space="preserve"> </w:t>
      </w:r>
      <w:r>
        <w:rPr>
          <w:i/>
        </w:rPr>
        <w:t xml:space="preserve">Construction and Building Materials</w:t>
      </w:r>
      <w:r>
        <w:t xml:space="preserve">, 125, 219–226. [§1.5のCLT動的LCA実証研究として引用]</w:t>
      </w:r>
    </w:p>
    <w:p>
      <w:pPr>
        <w:numPr>
          <w:ilvl w:val="0"/>
          <w:numId w:val="1008"/>
        </w:numPr>
        <w:pStyle w:val="Compact"/>
      </w:pPr>
      <w:r>
        <w:t xml:space="preserve">Perez, E., Borrion, A., &amp; Xu, Z. (2021). Life cycle assessment of cross-laminated timber: a systematic literature review.</w:t>
      </w:r>
      <w:r>
        <w:t xml:space="preserve"> </w:t>
      </w:r>
      <w:r>
        <w:rPr>
          <w:i/>
        </w:rPr>
        <w:t xml:space="preserve">Sustainability</w:t>
      </w:r>
      <w:r>
        <w:t xml:space="preserve">, 13(22), 12570. [§1.5のCLTバイオジェニック炭素値の場合の比較基準文献]</w:t>
      </w:r>
    </w:p>
    <w:p>
      <w:pPr>
        <w:numPr>
          <w:ilvl w:val="0"/>
          <w:numId w:val="1008"/>
        </w:numPr>
        <w:pStyle w:val="Compact"/>
      </w:pPr>
      <w:r>
        <w:t xml:space="preserve">Temporiti, M., Brunetti, A., Battistoni, P., &amp; Viola, F. (2021). Dynamic LCA of wood in construction: comparing static and dynamic approaches.</w:t>
      </w:r>
      <w:r>
        <w:t xml:space="preserve"> </w:t>
      </w:r>
      <w:r>
        <w:rPr>
          <w:i/>
        </w:rPr>
        <w:t xml:space="preserve">Journal of Cleaner Production</w:t>
      </w:r>
      <w:r>
        <w:t xml:space="preserve">, 318, 128400. [§1.5のCLT動的vs静的LCA比較の実証として引用]</w:t>
      </w:r>
    </w:p>
    <w:p>
      <w:pPr>
        <w:numPr>
          <w:ilvl w:val="0"/>
          <w:numId w:val="1008"/>
        </w:numPr>
        <w:pStyle w:val="Compact"/>
      </w:pPr>
      <w:r>
        <w:t xml:space="preserve">Cherubini, F., Bright, R.M., &amp; Strømman, A.H. (2011). Site-specific global warming potentials of biogenic CO₂ for bioenergy: contributions from carbon fluxes and albedo dynamics.</w:t>
      </w:r>
      <w:r>
        <w:t xml:space="preserve"> </w:t>
      </w:r>
      <w:r>
        <w:rPr>
          <w:i/>
        </w:rPr>
        <w:t xml:space="preserve">Environmental Research Letters</w:t>
      </w:r>
      <w:r>
        <w:t xml:space="preserve">, 7(4), 045902. [§4.3/4.4で木材EoLのバイオジェニックCO₂放出タイミング評価の基礎として引用]</w:t>
      </w:r>
    </w:p>
    <w:p>
      <w:pPr>
        <w:numPr>
          <w:ilvl w:val="0"/>
          <w:numId w:val="1008"/>
        </w:numPr>
        <w:pStyle w:val="Compact"/>
      </w:pPr>
      <w:r>
        <w:t xml:space="preserve">Hoxha, E., Passer, A., Saade, M.R.M., Trigaux, D., Shuttleworth, A., Pittau, F., … &amp; Habert, G. (2020). Biogenic carbon in buildings: a critical overview of LCA methods.</w:t>
      </w:r>
      <w:r>
        <w:t xml:space="preserve"> </w:t>
      </w:r>
      <w:r>
        <w:rPr>
          <w:i/>
        </w:rPr>
        <w:t xml:space="preserve">Buildings and Cities</w:t>
      </w:r>
      <w:r>
        <w:t xml:space="preserve">, 1(1), 504–524. [§4.4でバイオジェニック炭素会計の方法論比較として引用]</w:t>
      </w:r>
    </w:p>
    <w:p>
      <w:pPr>
        <w:numPr>
          <w:ilvl w:val="0"/>
          <w:numId w:val="1008"/>
        </w:numPr>
        <w:pStyle w:val="Compact"/>
      </w:pPr>
      <w:r>
        <w:t xml:space="preserve">IPCC (2007).</w:t>
      </w:r>
      <w:r>
        <w:t xml:space="preserve"> </w:t>
      </w:r>
      <w:r>
        <w:rPr>
          <w:i/>
        </w:rPr>
        <w:t xml:space="preserve">Climate Change 2007: The Physical Science Basis</w:t>
      </w:r>
      <w:r>
        <w:t xml:space="preserve">. Contribution of Working Group I to the Fourth Assessment Report. Cambridge University Press. [Bern2.5CCモデルパラメータの出典]</w:t>
      </w:r>
    </w:p>
    <w:p>
      <w:pPr>
        <w:numPr>
          <w:ilvl w:val="0"/>
          <w:numId w:val="1008"/>
        </w:numPr>
        <w:pStyle w:val="Compact"/>
      </w:pPr>
      <w:r>
        <w:t xml:space="preserve">Ventura, A. (2022). Conceptual issue of the dynamic GWP indicator and solution.</w:t>
      </w:r>
      <w:r>
        <w:t xml:space="preserve"> </w:t>
      </w:r>
      <w:r>
        <w:rPr>
          <w:i/>
        </w:rPr>
        <w:t xml:space="preserve">The International Journal of Life Cycle Assessment</w:t>
      </w:r>
      <w:r>
        <w:t xml:space="preserve">, 28, 788–799. https://doi.org/10.1007/s11367-022-02028-x [RE2020動的GWP指標の時間地平問題を指摘した論文（書誌確認済み）]</w:t>
      </w:r>
    </w:p>
    <w:p>
      <w:pPr>
        <w:numPr>
          <w:ilvl w:val="0"/>
          <w:numId w:val="1008"/>
        </w:numPr>
        <w:pStyle w:val="Compact"/>
      </w:pPr>
      <w:r>
        <w:t xml:space="preserve">林野庁 (2023). 木材利用促進基本計画. 農林水産省林野庁. 東京.</w:t>
      </w:r>
    </w:p>
    <w:p>
      <w:r>
        <w:pict>
          <v:rect style="width:0;height:1.5pt" o:hralign="center" o:hrstd="t" o:hr="t"/>
        </w:pict>
      </w:r>
    </w:p>
    <w:p>
      <w:pPr>
        <w:pStyle w:val="Heading2"/>
      </w:pPr>
      <w:bookmarkStart w:id="51" w:name="付録調査タスク対応表"/>
      <w:r>
        <w:t xml:space="preserve">付録：調査タスク対応表</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TASKS.md No.</w:t>
            </w:r>
          </w:p>
        </w:tc>
        <w:tc>
          <w:tcPr>
            <w:tcBorders>
              <w:bottom w:val="single"/>
            </w:tcBorders>
            <w:vAlign w:val="bottom"/>
          </w:tcPr>
          <w:p>
            <w:pPr>
              <w:pStyle w:val="Compact"/>
              <w:jc w:val="left"/>
            </w:pPr>
            <w:r>
              <w:t xml:space="preserve">細目</w:t>
            </w:r>
          </w:p>
        </w:tc>
        <w:tc>
          <w:tcPr>
            <w:tcBorders>
              <w:bottom w:val="single"/>
            </w:tcBorders>
            <w:vAlign w:val="bottom"/>
          </w:tcPr>
          <w:p>
            <w:pPr>
              <w:pStyle w:val="Compact"/>
              <w:jc w:val="left"/>
            </w:pPr>
            <w:r>
              <w:t xml:space="preserve">本報告書での対応箇所</w:t>
            </w:r>
          </w:p>
        </w:tc>
        <w:tc>
          <w:tcPr>
            <w:tcBorders>
              <w:bottom w:val="single"/>
            </w:tcBorders>
            <w:vAlign w:val="bottom"/>
          </w:tcPr>
          <w:p>
            <w:pPr>
              <w:pStyle w:val="Compact"/>
              <w:jc w:val="left"/>
            </w:pPr>
            <w:r>
              <w:t xml:space="preserve">完了状態</w:t>
            </w:r>
          </w:p>
        </w:tc>
      </w:tr>
      <w:tr>
        <w:tc>
          <w:p>
            <w:pPr>
              <w:pStyle w:val="Compact"/>
              <w:jc w:val="left"/>
            </w:pPr>
            <w:r>
              <w:rPr>
                <w:b/>
              </w:rPr>
              <w:t xml:space="preserve">No.1（ア）</w:t>
            </w:r>
          </w:p>
        </w:tc>
        <w:tc>
          <w:p>
            <w:pPr>
              <w:pStyle w:val="Compact"/>
              <w:jc w:val="left"/>
            </w:pPr>
            <w:r>
              <w:t xml:space="preserve">RE2020における建築物LCAの位置付け</w:t>
            </w:r>
          </w:p>
        </w:tc>
        <w:tc>
          <w:p>
            <w:pPr>
              <w:pStyle w:val="Compact"/>
              <w:jc w:val="left"/>
            </w:pPr>
            <w:r>
              <w:t xml:space="preserve">§1.1〜1.5</w:t>
            </w:r>
          </w:p>
        </w:tc>
        <w:tc>
          <w:p>
            <w:pPr>
              <w:pStyle w:val="Compact"/>
              <w:jc w:val="left"/>
            </w:pPr>
            <w:r>
              <w:t xml:space="preserve">✅ 完了</w:t>
            </w:r>
          </w:p>
        </w:tc>
      </w:tr>
      <w:tr>
        <w:tc>
          <w:p>
            <w:pPr>
              <w:pStyle w:val="Compact"/>
              <w:jc w:val="left"/>
            </w:pPr>
            <w:r>
              <w:rPr>
                <w:b/>
              </w:rPr>
              <w:t xml:space="preserve">No.2（イ）</w:t>
            </w:r>
          </w:p>
        </w:tc>
        <w:tc>
          <w:p>
            <w:pPr>
              <w:pStyle w:val="Compact"/>
              <w:jc w:val="left"/>
            </w:pPr>
            <w:r>
              <w:t xml:space="preserve">環境性能評価方法（非住宅・住宅、新築等）</w:t>
            </w:r>
          </w:p>
        </w:tc>
        <w:tc>
          <w:p>
            <w:pPr>
              <w:pStyle w:val="Compact"/>
              <w:jc w:val="left"/>
            </w:pPr>
            <w:r>
              <w:t xml:space="preserve">§2.1〜2.4</w:t>
            </w:r>
          </w:p>
        </w:tc>
        <w:tc>
          <w:p>
            <w:pPr>
              <w:pStyle w:val="Compact"/>
              <w:jc w:val="left"/>
            </w:pPr>
            <w:r>
              <w:t xml:space="preserve">✅ 完了</w:t>
            </w:r>
          </w:p>
        </w:tc>
      </w:tr>
      <w:tr>
        <w:tc>
          <w:p>
            <w:pPr>
              <w:pStyle w:val="Compact"/>
              <w:jc w:val="left"/>
            </w:pPr>
            <w:r>
              <w:rPr>
                <w:b/>
              </w:rPr>
              <w:t xml:space="preserve">No.3（ウ）</w:t>
            </w:r>
          </w:p>
        </w:tc>
        <w:tc>
          <w:p>
            <w:pPr>
              <w:pStyle w:val="Compact"/>
              <w:jc w:val="left"/>
            </w:pPr>
            <w:r>
              <w:t xml:space="preserve">Level(s)及びEN15978との関係性</w:t>
            </w:r>
          </w:p>
        </w:tc>
        <w:tc>
          <w:p>
            <w:pPr>
              <w:pStyle w:val="Compact"/>
              <w:jc w:val="left"/>
            </w:pPr>
            <w:r>
              <w:t xml:space="preserve">§3.1〜3.3</w:t>
            </w:r>
          </w:p>
        </w:tc>
        <w:tc>
          <w:p>
            <w:pPr>
              <w:pStyle w:val="Compact"/>
              <w:jc w:val="left"/>
            </w:pPr>
            <w:r>
              <w:t xml:space="preserve">✅ 完了</w:t>
            </w:r>
          </w:p>
        </w:tc>
      </w:tr>
      <w:tr>
        <w:tc>
          <w:p>
            <w:pPr>
              <w:pStyle w:val="Compact"/>
              <w:jc w:val="left"/>
            </w:pPr>
            <w:r>
              <w:rPr>
                <w:b/>
              </w:rPr>
              <w:t xml:space="preserve">No.8（エ）</w:t>
            </w:r>
          </w:p>
        </w:tc>
        <w:tc>
          <w:p>
            <w:pPr>
              <w:pStyle w:val="Compact"/>
              <w:jc w:val="left"/>
            </w:pPr>
            <w:r>
              <w:t xml:space="preserve">サーキュラーエコノミー施策との関係性</w:t>
            </w:r>
          </w:p>
        </w:tc>
        <w:tc>
          <w:p>
            <w:pPr>
              <w:pStyle w:val="Compact"/>
              <w:jc w:val="left"/>
            </w:pPr>
            <w:r>
              <w:t xml:space="preserve">§4.1〜4.4</w:t>
            </w:r>
          </w:p>
        </w:tc>
        <w:tc>
          <w:p>
            <w:pPr>
              <w:pStyle w:val="Compact"/>
              <w:jc w:val="left"/>
            </w:pPr>
            <w:r>
              <w:t xml:space="preserve">✅ 完了</w:t>
            </w:r>
          </w:p>
        </w:tc>
      </w:tr>
    </w:tbl>
    <w:p>
      <w:pPr>
        <w:pStyle w:val="BodyText"/>
      </w:pPr>
      <w:r>
        <w:rPr>
          <w:b/>
        </w:rPr>
        <w:t xml:space="preserve">要フォローアップ事項（Arrêté・Annexe条文照合）：</w:t>
      </w:r>
      <w:r>
        <w:t xml:space="preserve"> </w:t>
      </w:r>
      <w:r>
        <w:t xml:space="preserve">- §1.2の段階別seuil数値については、Arrêté 2021 Annexe IIの原文テキストとの個別照合が必要（現在PDF参照）</w:t>
      </w:r>
      <w:r>
        <w:t xml:space="preserve"> </w:t>
      </w:r>
      <w:r>
        <w:t xml:space="preserve">- EN 15978次期改訂（2025〜）の動向継続モニタリング</w:t>
      </w:r>
      <w:r>
        <w:t xml:space="preserve"> </w:t>
      </w:r>
      <w:r>
        <w:t xml:space="preserve">- 動的LCA関連の国際標準化動向（CEN/TC 350のEN 15978/EN 15804改訂等）の継続モニタリング（第2係との連携）</w:t>
      </w:r>
    </w:p>
    <w:p>
      <w:r>
        <w:pict>
          <v:rect style="width:0;height:1.5pt" o:hralign="center" o:hrstd="t" o:hr="t"/>
        </w:pict>
      </w:r>
    </w:p>
    <w:p>
      <w:pPr>
        <w:pStyle w:val="Heading1"/>
      </w:pPr>
      <w:bookmarkStart w:id="52" w:name="第2章-ダイナミックlcaの要件整理"/>
      <w:r>
        <w:t xml:space="preserve">第2章 ダイナミックLCAの要件整理</w:t>
      </w:r>
      <w:bookmarkEnd w:id="52"/>
    </w:p>
    <w:p>
      <w:pPr>
        <w:pStyle w:val="FirstParagraph"/>
      </w:pPr>
      <w:r>
        <w:rPr>
          <w:b/>
        </w:rPr>
        <w:t xml:space="preserve">調査項目 ②（タスク No.9・10・11）</w:t>
      </w:r>
      <w:r>
        <w:br/>
      </w:r>
      <w:r>
        <w:rPr>
          <w:b/>
        </w:rPr>
        <w:t xml:space="preserve">担当:</w:t>
      </w:r>
      <w:r>
        <w:t xml:space="preserve"> </w:t>
      </w:r>
      <w:r>
        <w:t xml:space="preserve">第1係（政策及び制度調査）</w:t>
      </w:r>
      <w:r>
        <w:br/>
      </w:r>
      <w:r>
        <w:rPr>
          <w:b/>
        </w:rPr>
        <w:t xml:space="preserve">版:</w:t>
      </w:r>
      <w:r>
        <w:t xml:space="preserve"> </w:t>
      </w:r>
      <w:r>
        <w:t xml:space="preserve">第3版 — 2026-06-11（PMOファクトチェック再評価〔evaluation_factcheck_ch01-04_20260611.md〕反映: seuil公式値・適用範囲・係数0.578・Ventura書誌・StockC位置づけ修正）</w:t>
      </w:r>
      <w:r>
        <w:br/>
      </w:r>
      <w:r>
        <w:rPr>
          <w:b/>
        </w:rPr>
        <w:t xml:space="preserve">対応 TASKS.md:</w:t>
      </w:r>
      <w:r>
        <w:t xml:space="preserve"> </w:t>
      </w:r>
      <w:r>
        <w:rPr>
          <w:rStyle w:val="VerbatimChar"/>
        </w:rPr>
        <w:t xml:space="preserve">blocks/01_政策及び制度調査/TASKS.md</w:t>
      </w:r>
      <w:r>
        <w:t xml:space="preserve"> </w:t>
      </w:r>
      <w:r>
        <w:t xml:space="preserve">§ ②</w:t>
      </w:r>
    </w:p>
    <w:p>
      <w:r>
        <w:pict>
          <v:rect style="width:0;height:1.5pt" o:hralign="center" o:hrstd="t" o:hr="t"/>
        </w:pict>
      </w:r>
    </w:p>
    <w:p>
      <w:pPr>
        <w:pStyle w:val="Heading2"/>
      </w:pPr>
      <w:bookmarkStart w:id="53" w:name="エグゼクティブサマリーkey-findings-1"/>
      <w:r>
        <w:t xml:space="preserve">エグゼクティブサマリー（Key Findings）</w:t>
      </w:r>
      <w:bookmarkEnd w:id="53"/>
    </w:p>
    <w:p>
      <w:pPr>
        <w:pStyle w:val="BlockText"/>
      </w:pPr>
      <w:r>
        <w:rPr>
          <w:b/>
        </w:rPr>
        <w:t xml:space="preserve">本章の論証起点（ch04 v3 §1 参照）:</w:t>
      </w:r>
      <w:r>
        <w:t xml:space="preserve"> </w:t>
      </w:r>
      <w:r>
        <w:t xml:space="preserve">静的GWP100は「今日の1kgCO₂ ≡ 50年後の1kgCO₂」と扱うため、木材の50年貯蔵という実在する気候便益を計測できない。本章で詳述するDCF（動的特性化係数）はこの物理的誤りを修正する科学的ツールであり、RE2020はその最初の法規制化である。</w:t>
      </w:r>
    </w:p>
    <w:p>
      <w:pPr>
        <w:numPr>
          <w:ilvl w:val="0"/>
          <w:numId w:val="1009"/>
        </w:numPr>
        <w:pStyle w:val="Compact"/>
      </w:pPr>
      <w:r>
        <w:rPr>
          <w:b/>
        </w:rPr>
        <w:t xml:space="preserve">対象範囲（No.9）:</w:t>
      </w:r>
      <w:r>
        <w:t xml:space="preserve"> </w:t>
      </w:r>
      <w:r>
        <w:t xml:space="preserve">RE2020の動的LCAは2022年1月以降に建築確認を申請する新築住宅から段階的に適用が始まり、2022年7月に事務所・初等中等教育施設へ拡大した。フェーズ分け（2022/2025/2028/2031年）により基準値が段階的に厳格化する。建物種別ごとのseuil値（戸建住宅：640、集合住宅：740 kgCO₂eq/m²）はE+C-実証データから導出された。</w:t>
      </w:r>
    </w:p>
    <w:p>
      <w:pPr>
        <w:numPr>
          <w:ilvl w:val="0"/>
          <w:numId w:val="1009"/>
        </w:numPr>
        <w:pStyle w:val="Compact"/>
      </w:pPr>
      <w:r>
        <w:rPr>
          <w:b/>
        </w:rPr>
        <w:t xml:space="preserve">遅延排出の評価根拠（No.10）:</w:t>
      </w:r>
      <w:r>
        <w:t xml:space="preserve"> </w:t>
      </w:r>
      <w:r>
        <w:t xml:space="preserve">「後の排出ほど気候影響が小さい」という物理的事実を、IPCC AR4 Bern2.5CCモデルの累積放射強制力（CRF）比として定量化したDCF（動的特性化係数）が評価の科学的根拠である。t=50年での影響は即時排出比</w:t>
      </w:r>
      <w:r>
        <w:rPr>
          <w:b/>
        </w:rPr>
        <w:t xml:space="preserve">42%減</w:t>
      </w:r>
      <w:r>
        <w:t xml:space="preserve">（DCF=0.58）。</w:t>
      </w:r>
    </w:p>
    <w:p>
      <w:pPr>
        <w:numPr>
          <w:ilvl w:val="0"/>
          <w:numId w:val="1009"/>
        </w:numPr>
        <w:pStyle w:val="Compact"/>
      </w:pPr>
      <w:r>
        <w:rPr>
          <w:b/>
        </w:rPr>
        <w:t xml:space="preserve">パラメータ（No.11）:</w:t>
      </w:r>
      <w:r>
        <w:t xml:space="preserve"> </w:t>
      </w:r>
      <w:r>
        <w:t xml:space="preserve">RE2020は排出年</w:t>
      </w:r>
      <w:r>
        <w:t xml:space="preserve"> </w:t>
      </w:r>
      <m:oMath>
        <m:r>
          <m:t>t</m:t>
        </m:r>
      </m:oMath>
      <w:r>
        <w:t xml:space="preserve"> </w:t>
      </w:r>
      <w:r>
        <w:t xml:space="preserve">の一次関数</w:t>
      </w:r>
      <w:r>
        <w:t xml:space="preserve"> </w:t>
      </w:r>
      <m:oMath>
        <m:r>
          <m:t>1</m:t>
        </m:r>
        <m:r>
          <m:t>−</m:t>
        </m:r>
        <m:r>
          <m:t>0.00842</m:t>
        </m:r>
        <m:r>
          <m:t>⋅</m:t>
        </m:r>
        <m:r>
          <m:t>t</m:t>
        </m:r>
      </m:oMath>
      <w:r>
        <w:t xml:space="preserve">（</w:t>
      </w:r>
      <m:oMath>
        <m:r>
          <m:t>t</m:t>
        </m:r>
        <m:r>
          <m:t>=</m:t>
        </m:r>
        <m:r>
          <m:t>0</m:t>
        </m:r>
      </m:oMath>
      <w:r>
        <w:t xml:space="preserve"> </w:t>
      </w:r>
      <w:r>
        <w:t xml:space="preserve">で1.000、</w:t>
      </w:r>
      <m:oMath>
        <m:r>
          <m:t>t</m:t>
        </m:r>
        <m:r>
          <m:t>=</m:t>
        </m:r>
        <m:r>
          <m:t>50</m:t>
        </m:r>
      </m:oMath>
      <w:r>
        <w:t xml:space="preserve"> </w:t>
      </w:r>
      <w:r>
        <w:t xml:space="preserve">年で0.578、50年超は固定）を重み係数として採用する。これはBenoist (2009) 博士論文の動的特性化値を線形回帰で近似し、観測期間100年で厳密な動的指標と一致するよう較正したものである（公式名称「ACV dynamique simplifiée＝簡易動的LCA」）。</w:t>
      </w:r>
      <w:r>
        <w:rPr>
          <w:b/>
        </w:rPr>
        <w:t xml:space="preserve">厳密な非線形DCFより不正確だが、透明性・実務コストの観点から2022年段階の採用が合理的と判断された（アダプティブ設計）。</w:t>
      </w:r>
    </w:p>
    <w:p>
      <w:r>
        <w:pict>
          <v:rect style="width:0;height:1.5pt" o:hralign="center" o:hrstd="t" o:hr="t"/>
        </w:pict>
      </w:r>
    </w:p>
    <w:p>
      <w:pPr>
        <w:pStyle w:val="Heading2"/>
      </w:pPr>
      <w:bookmarkStart w:id="54" w:name="対象建築物の種別範囲段階適用内容no.9"/>
      <w:r>
        <w:t xml:space="preserve">1. 対象建築物の種別・範囲・段階適用内容（No.9）</w:t>
      </w:r>
      <w:bookmarkEnd w:id="54"/>
    </w:p>
    <w:p>
      <w:pPr>
        <w:pStyle w:val="BlockText"/>
      </w:pPr>
      <w:r>
        <w:rPr>
          <w:b/>
        </w:rPr>
        <w:t xml:space="preserve">本節で分かること:</w:t>
      </w:r>
      <w:r>
        <w:t xml:space="preserve"> </w:t>
      </w:r>
      <w:r>
        <w:t xml:space="preserve">RE2020の動的LCAはどの建物に、いつから、どのように適用されるか。</w:t>
      </w:r>
    </w:p>
    <w:p>
      <w:pPr>
        <w:pStyle w:val="Heading3"/>
      </w:pPr>
      <w:bookmarkStart w:id="55" w:name="対象建物の種別と範囲"/>
      <w:r>
        <w:t xml:space="preserve">1.1 対象建物の種別と範囲</w:t>
      </w:r>
      <w:bookmarkEnd w:id="55"/>
    </w:p>
    <w:p>
      <w:pPr>
        <w:pStyle w:val="FirstParagraph"/>
      </w:pPr>
      <w:r>
        <w:t xml:space="preserve">RE2020は</w:t>
      </w:r>
      <w:r>
        <w:rPr>
          <w:b/>
        </w:rPr>
        <w:t xml:space="preserve">フランス本土（France métropolitaine）における新築建物</w:t>
      </w:r>
      <w:r>
        <w:t xml:space="preserve">を対象とする（Décret n°2021-1004; Arrêté du 4 août 2021）。適用対象は以下の区分に整理される。</w:t>
      </w:r>
    </w:p>
    <w:tbl>
      <w:tblPr>
        <w:tblStyle w:val="Table"/>
        <w:tblW w:type="pct" w:w="5000.0"/>
        <w:tblLook w:firstRow="1"/>
      </w:tblPr>
      <w:tblGrid>
        <w:gridCol w:w="1827"/>
        <w:gridCol w:w="1827"/>
        <w:gridCol w:w="4264"/>
      </w:tblGrid>
      <w:tr>
        <w:trPr>
          <w:cnfStyle w:firstRow="1"/>
        </w:trPr>
        <w:tc>
          <w:tcPr>
            <w:tcBorders>
              <w:bottom w:val="single"/>
            </w:tcBorders>
            <w:vAlign w:val="bottom"/>
          </w:tcPr>
          <w:p>
            <w:pPr>
              <w:pStyle w:val="Compact"/>
              <w:jc w:val="left"/>
            </w:pPr>
            <w:r>
              <w:t xml:space="preserve">区分</w:t>
            </w:r>
          </w:p>
        </w:tc>
        <w:tc>
          <w:tcPr>
            <w:tcBorders>
              <w:bottom w:val="single"/>
            </w:tcBorders>
            <w:vAlign w:val="bottom"/>
          </w:tcPr>
          <w:p>
            <w:pPr>
              <w:pStyle w:val="Compact"/>
              <w:jc w:val="left"/>
            </w:pPr>
            <w:r>
              <w:t xml:space="preserve">対象</w:t>
            </w:r>
          </w:p>
        </w:tc>
        <w:tc>
          <w:tcPr>
            <w:tcBorders>
              <w:bottom w:val="single"/>
            </w:tcBorders>
            <w:vAlign w:val="bottom"/>
          </w:tcPr>
          <w:p>
            <w:pPr>
              <w:pStyle w:val="Compact"/>
              <w:jc w:val="left"/>
            </w:pPr>
            <w:r>
              <w:t xml:space="preserve">最初の適用時期</w:t>
            </w:r>
          </w:p>
        </w:tc>
      </w:tr>
      <w:tr>
        <w:tc>
          <w:p>
            <w:pPr>
              <w:pStyle w:val="Compact"/>
              <w:jc w:val="left"/>
            </w:pPr>
            <w:r>
              <w:rPr>
                <w:b/>
              </w:rPr>
              <w:t xml:space="preserve">住宅（Résidentiel）</w:t>
            </w:r>
          </w:p>
        </w:tc>
        <w:tc>
          <w:p>
            <w:pPr>
              <w:pStyle w:val="Compact"/>
              <w:jc w:val="left"/>
            </w:pPr>
            <w:r>
              <w:t xml:space="preserve">戸建住宅（maisons individuelles）・集合住宅（logements collectifs）</w:t>
            </w:r>
          </w:p>
        </w:tc>
        <w:tc>
          <w:p>
            <w:pPr>
              <w:pStyle w:val="Compact"/>
              <w:jc w:val="left"/>
            </w:pPr>
            <w:r>
              <w:t xml:space="preserve">2022年1月1日（フェーズ1）</w:t>
            </w:r>
          </w:p>
        </w:tc>
      </w:tr>
      <w:tr>
        <w:tc>
          <w:p>
            <w:pPr>
              <w:pStyle w:val="Compact"/>
              <w:jc w:val="left"/>
            </w:pPr>
            <w:r>
              <w:rPr>
                <w:b/>
              </w:rPr>
              <w:t xml:space="preserve">非住宅（Tertiaire）のうち事務所・初等中等教育施設</w:t>
            </w:r>
          </w:p>
        </w:tc>
        <w:tc>
          <w:p>
            <w:pPr>
              <w:pStyle w:val="Compact"/>
              <w:jc w:val="left"/>
            </w:pPr>
            <w:r>
              <w:t xml:space="preserve">bureaux / enseignement primaire et secondaire</w:t>
            </w:r>
          </w:p>
        </w:tc>
        <w:tc>
          <w:p>
            <w:pPr>
              <w:pStyle w:val="Compact"/>
              <w:jc w:val="left"/>
            </w:pPr>
            <w:r>
              <w:t xml:space="preserve">2022年7月1日（面積閾値なし）</w:t>
            </w:r>
          </w:p>
        </w:tc>
      </w:tr>
      <w:tr>
        <w:tc>
          <w:p>
            <w:pPr>
              <w:pStyle w:val="Compact"/>
              <w:jc w:val="left"/>
            </w:pPr>
            <w:r>
              <w:rPr>
                <w:b/>
              </w:rPr>
              <w:t xml:space="preserve">増築・仮設建築物（上記の既対象用途）</w:t>
            </w:r>
          </w:p>
        </w:tc>
        <w:tc>
          <w:p>
            <w:pPr>
              <w:pStyle w:val="Compact"/>
              <w:jc w:val="left"/>
            </w:pPr>
            <w:r>
              <w:t xml:space="preserve">extensions・constructions provisoires</w:t>
            </w:r>
          </w:p>
        </w:tc>
        <w:tc>
          <w:p>
            <w:pPr>
              <w:pStyle w:val="Compact"/>
              <w:jc w:val="left"/>
            </w:pPr>
            <w:r>
              <w:t xml:space="preserve">2023年1月1日</w:t>
            </w:r>
          </w:p>
        </w:tc>
      </w:tr>
      <w:tr>
        <w:tc>
          <w:p>
            <w:pPr>
              <w:pStyle w:val="Compact"/>
              <w:jc w:val="left"/>
            </w:pPr>
            <w:r>
              <w:rPr>
                <w:b/>
              </w:rPr>
              <w:t xml:space="preserve">その他第三次産業（ホテル・商業・EHPAD等）</w:t>
            </w:r>
          </w:p>
        </w:tc>
        <w:tc>
          <w:p>
            <w:pPr>
              <w:pStyle w:val="Compact"/>
              <w:jc w:val="left"/>
            </w:pPr>
            <w:r>
              <w:t xml:space="preserve">フェーズ1時点では対象外（RT2012継続）。後続デクレで段階的に追加</w:t>
            </w:r>
          </w:p>
        </w:tc>
        <w:tc>
          <w:p>
            <w:pPr>
              <w:pStyle w:val="Compact"/>
              <w:jc w:val="left"/>
            </w:pPr>
            <w:r>
              <w:t xml:space="preserve">—</w:t>
            </w:r>
          </w:p>
        </w:tc>
      </w:tr>
      <w:tr>
        <w:tc>
          <w:p>
            <w:pPr>
              <w:pStyle w:val="Compact"/>
              <w:jc w:val="left"/>
            </w:pPr>
            <w:r>
              <w:rPr>
                <w:b/>
              </w:rPr>
              <w:t xml:space="preserve">既存建物の大規模改修</w:t>
            </w:r>
          </w:p>
        </w:tc>
        <w:tc>
          <w:p>
            <w:pPr>
              <w:pStyle w:val="Compact"/>
              <w:jc w:val="left"/>
            </w:pPr>
            <w:r>
              <w:t xml:space="preserve">対象外（RE2020は新築専用規制）</w:t>
            </w:r>
          </w:p>
        </w:tc>
        <w:tc>
          <w:p>
            <w:pPr>
              <w:pStyle w:val="Compact"/>
              <w:jc w:val="left"/>
            </w:pPr>
            <w:r>
              <w:t xml:space="preserve">—</w:t>
            </w:r>
          </w:p>
        </w:tc>
      </w:tr>
    </w:tbl>
    <w:p>
      <w:pPr>
        <w:pStyle w:val="BlockText"/>
      </w:pPr>
      <w:r>
        <w:rPr>
          <w:b/>
        </w:rPr>
        <w:t xml:space="preserve">⚠️ 留保注記:</w:t>
      </w:r>
      <w:r>
        <w:t xml:space="preserve"> </w:t>
      </w:r>
      <w:r>
        <w:t xml:space="preserve">個別の適用除外規定の詳細はArrêté 2021の原文参照が必要（本報告書では未照合）。</w:t>
      </w:r>
    </w:p>
    <w:p>
      <w:pPr>
        <w:pStyle w:val="Heading3"/>
      </w:pPr>
      <w:bookmarkStart w:id="56" w:name="段階的施行スケジュール"/>
      <w:r>
        <w:t xml:space="preserve">1.2 段階的施行スケジュール</w:t>
      </w:r>
      <w:bookmarkEnd w:id="56"/>
    </w:p>
    <w:p>
      <w:pPr>
        <w:pStyle w:val="FirstParagraph"/>
      </w:pPr>
      <w:r>
        <w:t xml:space="preserve">RE2020は建設産業への影響を段階的に移行させるため、炭素指標の</w:t>
      </w:r>
      <w:r>
        <w:rPr>
          <w:b/>
        </w:rPr>
        <w:t xml:space="preserve">seuil（上限基準値）</w:t>
      </w:r>
      <w:r>
        <w:t xml:space="preserve">を以下の4フェーズで段階引き下げする設計になっている（Cerema, 2024, §4.2）。</w:t>
      </w:r>
    </w:p>
    <w:p>
      <w:pPr>
        <w:pStyle w:val="Heading4"/>
      </w:pPr>
      <w:bookmarkStart w:id="57" w:name="全体フェーズ概要"/>
      <w:r>
        <w:t xml:space="preserve">全体フェーズ概要</w:t>
      </w:r>
      <w:bookmarkEnd w:id="57"/>
    </w:p>
    <w:tbl>
      <w:tblPr>
        <w:tblStyle w:val="Table"/>
        <w:tblW w:type="pct" w:w="5000.0"/>
        <w:tblLook w:firstRow="1"/>
      </w:tblPr>
      <w:tblGrid>
        <w:gridCol w:w="976"/>
        <w:gridCol w:w="867"/>
        <w:gridCol w:w="5099"/>
        <w:gridCol w:w="976"/>
      </w:tblGrid>
      <w:tr>
        <w:trPr>
          <w:cnfStyle w:firstRow="1"/>
        </w:trPr>
        <w:tc>
          <w:tcPr>
            <w:tcBorders>
              <w:bottom w:val="single"/>
            </w:tcBorders>
            <w:vAlign w:val="bottom"/>
          </w:tcPr>
          <w:p>
            <w:pPr>
              <w:pStyle w:val="Compact"/>
              <w:jc w:val="left"/>
            </w:pPr>
            <w:r>
              <w:t xml:space="preserve">フェーズ</w:t>
            </w:r>
          </w:p>
        </w:tc>
        <w:tc>
          <w:tcPr>
            <w:tcBorders>
              <w:bottom w:val="single"/>
            </w:tcBorders>
            <w:vAlign w:val="bottom"/>
          </w:tcPr>
          <w:p>
            <w:pPr>
              <w:pStyle w:val="Compact"/>
              <w:jc w:val="left"/>
            </w:pPr>
            <w:r>
              <w:t xml:space="preserve">施行日</w:t>
            </w:r>
          </w:p>
        </w:tc>
        <w:tc>
          <w:tcPr>
            <w:tcBorders>
              <w:bottom w:val="single"/>
            </w:tcBorders>
            <w:vAlign w:val="bottom"/>
          </w:tcPr>
          <w:p>
            <w:pPr>
              <w:pStyle w:val="Compact"/>
              <w:jc w:val="left"/>
            </w:pPr>
            <m:oMath>
              <m:r>
                <m:t>I</m:t>
              </m:r>
              <m:sSub>
                <m:e>
                  <m:r>
                    <m:t>c</m:t>
                  </m:r>
                </m:e>
                <m:sub>
                  <m:r>
                    <m:rPr>
                      <m:nor/>
                      <m:sty m:val="p"/>
                    </m:rPr>
                    <m:t>construction</m:t>
                  </m:r>
                </m:sub>
              </m:sSub>
            </m:oMath>
            <w:r>
              <w:t xml:space="preserve"> </w:t>
            </w:r>
            <w:r>
              <w:t xml:space="preserve">削減率（フェーズ1比）</w:t>
            </w:r>
          </w:p>
        </w:tc>
        <w:tc>
          <w:tcPr>
            <w:tcBorders>
              <w:bottom w:val="single"/>
            </w:tcBorders>
            <w:vAlign w:val="bottom"/>
          </w:tcPr>
          <w:p>
            <w:pPr>
              <w:pStyle w:val="Compact"/>
              <w:jc w:val="left"/>
            </w:pPr>
            <w:r>
              <w:t xml:space="preserve">主な変更</w:t>
            </w:r>
          </w:p>
        </w:tc>
      </w:tr>
      <w:tr>
        <w:tc>
          <w:p>
            <w:pPr>
              <w:pStyle w:val="Compact"/>
              <w:jc w:val="left"/>
            </w:pPr>
            <w:r>
              <w:rPr>
                <w:b/>
              </w:rPr>
              <w:t xml:space="preserve">フェーズ1</w:t>
            </w:r>
          </w:p>
        </w:tc>
        <w:tc>
          <w:p>
            <w:pPr>
              <w:pStyle w:val="Compact"/>
              <w:jc w:val="left"/>
            </w:pPr>
            <w:r>
              <w:t xml:space="preserve">2022年1月1日</w:t>
            </w:r>
          </w:p>
        </w:tc>
        <w:tc>
          <w:p>
            <w:pPr>
              <w:pStyle w:val="Compact"/>
              <w:jc w:val="left"/>
            </w:pPr>
            <w:r>
              <w:t xml:space="preserve">ベースライン（0%）</w:t>
            </w:r>
          </w:p>
        </w:tc>
        <w:tc>
          <w:p>
            <w:pPr>
              <w:pStyle w:val="Compact"/>
              <w:jc w:val="left"/>
            </w:pPr>
            <w:r>
              <w:t xml:space="preserve">炭素評価義務化の初施行。住宅は1月、事務所・初等中等教育施設は7月から</w:t>
            </w:r>
          </w:p>
        </w:tc>
      </w:tr>
      <w:tr>
        <w:tc>
          <w:p>
            <w:pPr>
              <w:pStyle w:val="Compact"/>
              <w:jc w:val="left"/>
            </w:pPr>
            <w:r>
              <w:rPr>
                <w:b/>
              </w:rPr>
              <w:t xml:space="preserve">フェーズ2</w:t>
            </w:r>
          </w:p>
        </w:tc>
        <w:tc>
          <w:p>
            <w:pPr>
              <w:pStyle w:val="Compact"/>
              <w:jc w:val="left"/>
            </w:pPr>
            <w:r>
              <w:t xml:space="preserve">2025年1月1日</w:t>
            </w:r>
          </w:p>
        </w:tc>
        <w:tc>
          <w:p>
            <w:pPr>
              <w:pStyle w:val="Compact"/>
              <w:jc w:val="left"/>
            </w:pPr>
            <w:r>
              <w:rPr>
                <w:b/>
              </w:rPr>
              <w:t xml:space="preserve">約−15%</w:t>
            </w:r>
          </w:p>
        </w:tc>
        <w:tc>
          <w:p>
            <w:pPr>
              <w:pStyle w:val="Compact"/>
              <w:jc w:val="left"/>
            </w:pPr>
            <w:r>
              <w:t xml:space="preserve">全対象建物種別で上限値を引き下げ。デフォルト値モデュレーションの廃止、EN 15804+A2準拠FDESの義務化</w:t>
            </w:r>
          </w:p>
        </w:tc>
      </w:tr>
      <w:tr>
        <w:tc>
          <w:p>
            <w:pPr>
              <w:pStyle w:val="Compact"/>
              <w:jc w:val="left"/>
            </w:pPr>
            <w:r>
              <w:rPr>
                <w:b/>
              </w:rPr>
              <w:t xml:space="preserve">フェーズ3</w:t>
            </w:r>
          </w:p>
        </w:tc>
        <w:tc>
          <w:p>
            <w:pPr>
              <w:pStyle w:val="Compact"/>
              <w:jc w:val="left"/>
            </w:pPr>
            <w:r>
              <w:t xml:space="preserve">2028年1月1日</w:t>
            </w:r>
          </w:p>
        </w:tc>
        <w:tc>
          <w:p>
            <w:pPr>
              <w:pStyle w:val="Compact"/>
              <w:jc w:val="left"/>
            </w:pPr>
            <w:r>
              <w:rPr>
                <w:b/>
              </w:rPr>
              <w:t xml:space="preserve">約−25%</w:t>
            </w:r>
            <w:r>
              <w:t xml:space="preserve">（戸建−26%、集合−22%）</w:t>
            </w:r>
          </w:p>
        </w:tc>
        <w:tc>
          <w:p>
            <w:pPr>
              <w:pStyle w:val="Compact"/>
              <w:jc w:val="left"/>
            </w:pPr>
            <w:r>
              <w:t xml:space="preserve">DCF係数の見直し検討（Rivaton, 2025）と同期</w:t>
            </w:r>
          </w:p>
        </w:tc>
      </w:tr>
      <w:tr>
        <w:tc>
          <w:p>
            <w:pPr>
              <w:pStyle w:val="Compact"/>
              <w:jc w:val="left"/>
            </w:pPr>
            <w:r>
              <w:rPr>
                <w:b/>
              </w:rPr>
              <w:t xml:space="preserve">フェーズ4</w:t>
            </w:r>
          </w:p>
        </w:tc>
        <w:tc>
          <w:p>
            <w:pPr>
              <w:pStyle w:val="Compact"/>
              <w:jc w:val="left"/>
            </w:pPr>
            <w:r>
              <w:t xml:space="preserve">2031年1月1日</w:t>
            </w:r>
          </w:p>
        </w:tc>
        <w:tc>
          <w:p>
            <w:pPr>
              <w:pStyle w:val="Compact"/>
              <w:jc w:val="left"/>
            </w:pPr>
            <w:r>
              <w:rPr>
                <w:b/>
              </w:rPr>
              <w:t xml:space="preserve">約−35%</w:t>
            </w:r>
            <w:r>
              <w:t xml:space="preserve">（類型により30〜40%）</w:t>
            </w:r>
          </w:p>
        </w:tc>
        <w:tc>
          <w:p>
            <w:pPr>
              <w:pStyle w:val="Compact"/>
              <w:jc w:val="left"/>
            </w:pPr>
            <w:r>
              <w:t xml:space="preserve">最終目標水準</w:t>
            </w:r>
          </w:p>
        </w:tc>
      </w:tr>
    </w:tbl>
    <w:p>
      <w:pPr>
        <w:pStyle w:val="Heading4"/>
      </w:pPr>
      <w:bookmarkStart w:id="58" w:name="建物種類別フェーズ別-ic_textconstruction-上限値seuil"/>
      <w:r>
        <w:t xml:space="preserve">建物種類別・フェーズ別</w:t>
      </w:r>
      <w:r>
        <w:t xml:space="preserve"> </w:t>
      </w:r>
      <m:oMath>
        <m:r>
          <m:t>I</m:t>
        </m:r>
        <m:sSub>
          <m:e>
            <m:r>
              <m:t>c</m:t>
            </m:r>
          </m:e>
          <m:sub>
            <m:r>
              <m:rPr>
                <m:nor/>
                <m:sty m:val="p"/>
              </m:rPr>
              <m:t>construction</m:t>
            </m:r>
          </m:sub>
        </m:sSub>
      </m:oMath>
      <w:r>
        <w:t xml:space="preserve"> </w:t>
      </w:r>
      <w:r>
        <w:t xml:space="preserve">上限値（seuil）</w:t>
      </w:r>
      <w:bookmarkEnd w:id="58"/>
    </w:p>
    <w:p>
      <w:pPr>
        <w:pStyle w:val="FirstParagraph"/>
      </w:pPr>
      <m:oMath>
        <m:r>
          <m:t>I</m:t>
        </m:r>
        <m:sSub>
          <m:e>
            <m:r>
              <m:t>c</m:t>
            </m:r>
          </m:e>
          <m:sub>
            <m:r>
              <m:rPr>
                <m:nor/>
                <m:sty m:val="p"/>
              </m:rPr>
              <m:t>construction</m:t>
            </m:r>
          </m:sub>
        </m:sSub>
      </m:oMath>
      <w:r>
        <w:t xml:space="preserve"> </w:t>
      </w:r>
      <w:r>
        <w:t xml:space="preserve">の seuil（基準値）は建物用途別に定められ、気候ゾーン・延床面積等の modulation で個別修正される。公式の基準値は以下の通り（Arrêté du 4 août 2021, Annexe II〔住宅〕; Décret/Arrêté du 1er mars 2022〔事務所・教育施設〕）：</w:t>
      </w:r>
    </w:p>
    <w:tbl>
      <w:tblPr>
        <w:tblStyle w:val="Table"/>
        <w:tblW w:type="pct" w:w="4999.999999999999"/>
        <w:tblLook w:firstRow="1"/>
      </w:tblPr>
      <w:tblGrid>
        <w:gridCol w:w="925"/>
        <w:gridCol w:w="1748"/>
        <w:gridCol w:w="1748"/>
        <w:gridCol w:w="1748"/>
        <w:gridCol w:w="1748"/>
      </w:tblGrid>
      <w:tr>
        <w:trPr>
          <w:cnfStyle w:firstRow="1"/>
        </w:trPr>
        <w:tc>
          <w:tcPr>
            <w:tcBorders>
              <w:bottom w:val="single"/>
            </w:tcBorders>
            <w:vAlign w:val="bottom"/>
          </w:tcPr>
          <w:p>
            <w:pPr>
              <w:pStyle w:val="Compact"/>
              <w:jc w:val="left"/>
            </w:pPr>
            <w:r>
              <w:t xml:space="preserve">建物種別</w:t>
            </w:r>
          </w:p>
        </w:tc>
        <w:tc>
          <w:tcPr>
            <w:tcBorders>
              <w:bottom w:val="single"/>
            </w:tcBorders>
            <w:vAlign w:val="bottom"/>
          </w:tcPr>
          <w:p>
            <w:pPr>
              <w:pStyle w:val="Compact"/>
              <w:jc w:val="left"/>
            </w:pPr>
            <w:r>
              <w:t xml:space="preserve">フェーズ1（2022）</w:t>
            </w:r>
          </w:p>
        </w:tc>
        <w:tc>
          <w:tcPr>
            <w:tcBorders>
              <w:bottom w:val="single"/>
            </w:tcBorders>
            <w:vAlign w:val="bottom"/>
          </w:tcPr>
          <w:p>
            <w:pPr>
              <w:pStyle w:val="Compact"/>
              <w:jc w:val="left"/>
            </w:pPr>
            <w:r>
              <w:t xml:space="preserve">フェーズ2（2025）</w:t>
            </w:r>
          </w:p>
        </w:tc>
        <w:tc>
          <w:tcPr>
            <w:tcBorders>
              <w:bottom w:val="single"/>
            </w:tcBorders>
            <w:vAlign w:val="bottom"/>
          </w:tcPr>
          <w:p>
            <w:pPr>
              <w:pStyle w:val="Compact"/>
              <w:jc w:val="left"/>
            </w:pPr>
            <w:r>
              <w:t xml:space="preserve">フェーズ3（2028）</w:t>
            </w:r>
          </w:p>
        </w:tc>
        <w:tc>
          <w:tcPr>
            <w:tcBorders>
              <w:bottom w:val="single"/>
            </w:tcBorders>
            <w:vAlign w:val="bottom"/>
          </w:tcPr>
          <w:p>
            <w:pPr>
              <w:pStyle w:val="Compact"/>
              <w:jc w:val="left"/>
            </w:pPr>
            <w:r>
              <w:t xml:space="preserve">フェーズ4（2031）</w:t>
            </w:r>
          </w:p>
        </w:tc>
      </w:tr>
      <w:tr>
        <w:tc>
          <w:p>
            <w:pPr>
              <w:pStyle w:val="Compact"/>
              <w:jc w:val="left"/>
            </w:pPr>
            <w:r>
              <w:rPr>
                <w:b/>
              </w:rPr>
              <w:t xml:space="preserve">戸建住宅</w:t>
            </w:r>
            <w:r>
              <w:t xml:space="preserve">（maisons individuelles, MI）</w:t>
            </w:r>
          </w:p>
        </w:tc>
        <w:tc>
          <w:p>
            <w:pPr>
              <w:pStyle w:val="Compact"/>
              <w:jc w:val="left"/>
            </w:pPr>
            <w:r>
              <w:rPr>
                <w:b/>
              </w:rPr>
              <w:t xml:space="preserve">640</w:t>
            </w:r>
            <w:r>
              <w:t xml:space="preserve"> </w:t>
            </w:r>
            <w:r>
              <w:t xml:space="preserve">kgCO₂eq/m²</w:t>
            </w:r>
          </w:p>
        </w:tc>
        <w:tc>
          <w:p>
            <w:pPr>
              <w:pStyle w:val="Compact"/>
              <w:jc w:val="left"/>
            </w:pPr>
            <w:r>
              <w:t xml:space="preserve">530 kgCO₂eq/m²</w:t>
            </w:r>
          </w:p>
        </w:tc>
        <w:tc>
          <w:p>
            <w:pPr>
              <w:pStyle w:val="Compact"/>
              <w:jc w:val="left"/>
            </w:pPr>
            <w:r>
              <w:t xml:space="preserve">475 kgCO₂eq/m²</w:t>
            </w:r>
          </w:p>
        </w:tc>
        <w:tc>
          <w:p>
            <w:pPr>
              <w:pStyle w:val="Compact"/>
              <w:jc w:val="left"/>
            </w:pPr>
            <w:r>
              <w:t xml:space="preserve">415 kgCO₂eq/m²</w:t>
            </w:r>
          </w:p>
        </w:tc>
      </w:tr>
      <w:tr>
        <w:tc>
          <w:p>
            <w:pPr>
              <w:pStyle w:val="Compact"/>
              <w:jc w:val="left"/>
            </w:pPr>
            <w:r>
              <w:rPr>
                <w:b/>
              </w:rPr>
              <w:t xml:space="preserve">集合住宅</w:t>
            </w:r>
            <w:r>
              <w:t xml:space="preserve">（logements collectifs, LC）</w:t>
            </w:r>
          </w:p>
        </w:tc>
        <w:tc>
          <w:p>
            <w:pPr>
              <w:pStyle w:val="Compact"/>
              <w:jc w:val="left"/>
            </w:pPr>
            <w:r>
              <w:rPr>
                <w:b/>
              </w:rPr>
              <w:t xml:space="preserve">740</w:t>
            </w:r>
            <w:r>
              <w:t xml:space="preserve"> </w:t>
            </w:r>
            <w:r>
              <w:t xml:space="preserve">kgCO₂eq/m²</w:t>
            </w:r>
          </w:p>
        </w:tc>
        <w:tc>
          <w:p>
            <w:pPr>
              <w:pStyle w:val="Compact"/>
              <w:jc w:val="left"/>
            </w:pPr>
            <w:r>
              <w:t xml:space="preserve">650 kgCO₂eq/m²</w:t>
            </w:r>
          </w:p>
        </w:tc>
        <w:tc>
          <w:p>
            <w:pPr>
              <w:pStyle w:val="Compact"/>
              <w:jc w:val="left"/>
            </w:pPr>
            <w:r>
              <w:t xml:space="preserve">580 kgCO₂eq/m²</w:t>
            </w:r>
          </w:p>
        </w:tc>
        <w:tc>
          <w:p>
            <w:pPr>
              <w:pStyle w:val="Compact"/>
              <w:jc w:val="left"/>
            </w:pPr>
            <w:r>
              <w:t xml:space="preserve">490 kgCO₂eq/m²</w:t>
            </w:r>
          </w:p>
        </w:tc>
      </w:tr>
      <w:tr>
        <w:tc>
          <w:p>
            <w:pPr>
              <w:pStyle w:val="Compact"/>
              <w:jc w:val="left"/>
            </w:pPr>
            <w:r>
              <w:rPr>
                <w:b/>
              </w:rPr>
              <w:t xml:space="preserve">事務所</w:t>
            </w:r>
            <w:r>
              <w:t xml:space="preserve">（bureaux）</w:t>
            </w:r>
          </w:p>
        </w:tc>
        <w:tc>
          <w:p>
            <w:pPr>
              <w:pStyle w:val="Compact"/>
              <w:jc w:val="left"/>
            </w:pPr>
            <w:r>
              <w:rPr>
                <w:b/>
              </w:rPr>
              <w:t xml:space="preserve">980</w:t>
            </w:r>
            <w:r>
              <w:t xml:space="preserve"> </w:t>
            </w:r>
            <w:r>
              <w:t xml:space="preserve">kgCO₂eq/m²</w:t>
            </w:r>
          </w:p>
        </w:tc>
        <w:tc>
          <w:p>
            <w:pPr>
              <w:pStyle w:val="Compact"/>
              <w:jc w:val="left"/>
            </w:pPr>
            <w:r>
              <w:t xml:space="preserve">810 kgCO₂eq/m²</w:t>
            </w:r>
          </w:p>
        </w:tc>
        <w:tc>
          <w:p>
            <w:pPr>
              <w:pStyle w:val="Compact"/>
              <w:jc w:val="left"/>
            </w:pPr>
            <w:r>
              <w:t xml:space="preserve">段階引き下げ（原文照合中）</w:t>
            </w:r>
          </w:p>
        </w:tc>
        <w:tc>
          <w:p>
            <w:pPr>
              <w:pStyle w:val="Compact"/>
              <w:jc w:val="left"/>
            </w:pPr>
            <w:r>
              <w:t xml:space="preserve">同左</w:t>
            </w:r>
          </w:p>
        </w:tc>
      </w:tr>
      <w:tr>
        <w:tc>
          <w:p>
            <w:pPr>
              <w:pStyle w:val="Compact"/>
              <w:jc w:val="left"/>
            </w:pPr>
            <w:r>
              <w:rPr>
                <w:b/>
              </w:rPr>
              <w:t xml:space="preserve">初等中等教育施設</w:t>
            </w:r>
            <w:r>
              <w:t xml:space="preserve">（enseignement primaire/secondaire）</w:t>
            </w:r>
          </w:p>
        </w:tc>
        <w:tc>
          <w:p>
            <w:pPr>
              <w:pStyle w:val="Compact"/>
              <w:jc w:val="left"/>
            </w:pPr>
            <w:r>
              <w:rPr>
                <w:b/>
              </w:rPr>
              <w:t xml:space="preserve">900</w:t>
            </w:r>
            <w:r>
              <w:t xml:space="preserve"> </w:t>
            </w:r>
            <w:r>
              <w:t xml:space="preserve">kgCO₂eq/m²</w:t>
            </w:r>
          </w:p>
        </w:tc>
        <w:tc>
          <w:p>
            <w:pPr>
              <w:pStyle w:val="Compact"/>
              <w:jc w:val="left"/>
            </w:pPr>
            <w:r>
              <w:t xml:space="preserve">770 kgCO₂eq/m²</w:t>
            </w:r>
          </w:p>
        </w:tc>
        <w:tc>
          <w:p>
            <w:pPr>
              <w:pStyle w:val="Compact"/>
              <w:jc w:val="left"/>
            </w:pPr>
            <w:r>
              <w:t xml:space="preserve">段階引き下げ（原文照合中）</w:t>
            </w:r>
          </w:p>
        </w:tc>
        <w:tc>
          <w:p>
            <w:pPr>
              <w:pStyle w:val="Compact"/>
              <w:jc w:val="left"/>
            </w:pPr>
            <w:r>
              <w:t xml:space="preserve">同左</w:t>
            </w:r>
          </w:p>
        </w:tc>
      </w:tr>
    </w:tbl>
    <w:p>
      <w:pPr>
        <w:pStyle w:val="BlockText"/>
      </w:pPr>
      <w:r>
        <w:rPr>
          <w:b/>
        </w:rPr>
        <w:t xml:space="preserve">⚠️ 出典・数値の留保:</w:t>
      </w:r>
      <w:r>
        <w:t xml:space="preserve"> </w:t>
      </w:r>
      <w:r>
        <w:t xml:space="preserve">実際の seuil は</w:t>
      </w:r>
      <w:r>
        <w:rPr>
          <w:b/>
        </w:rPr>
        <w:t xml:space="preserve">気候ゾーン・延床面積・階数・FDESデータ品質</w:t>
      </w:r>
      <w:r>
        <w:t xml:space="preserve">等の modulation により個別に定められており、一律値ではない。ホテル・商業施設・EHPAD等のその他第三次産業用途はフェーズ1時点では RE2020 の対象外であり（RT2012が継続適用）、後続デクレで段階的に追加される。2025年値はDécret n°2024-1258（2024年12月30日、通称「décret retex」）により確定施行された（同デクレでは併せて、デフォルト値モデュレーション〔Mided〕の廃止、1,300m²未満の小規模集合住宅への緩和、太陽光発電の計上上限〔20 kgCO₂/m²〕等の運用調整も実施）。事務所・教育施設の2028/2031年値は Arrêté 原文照合が必要。</w:t>
      </w:r>
    </w:p>
    <w:p>
      <w:pPr>
        <w:pStyle w:val="FirstParagraph"/>
      </w:pPr>
      <w:r>
        <w:rPr>
          <w:b/>
        </w:rPr>
        <w:t xml:space="preserve">段階施行の設計思想:</w:t>
      </w:r>
      <w:r>
        <w:t xml:space="preserve"> </w:t>
      </w:r>
      <w:r>
        <w:t xml:space="preserve">- 建材業界（FDES/EPD整備）・設計者（計算ツール習得）・規制当局（データ収集・検証）の準備時間を確保</w:t>
      </w:r>
      <w:r>
        <w:t xml:space="preserve"> </w:t>
      </w:r>
      <w:r>
        <w:t xml:space="preserve">- 実績データ蓄積後に係数を見直すというアダプティブ・レギュレーション（adaptive regulation）の仕組みを制度化</w:t>
      </w:r>
      <w:r>
        <w:t xml:space="preserve"> </w:t>
      </w:r>
      <w:r>
        <w:t xml:space="preserve">-</w:t>
      </w:r>
      <w:r>
        <w:t xml:space="preserve"> </w:t>
      </w:r>
      <w:r>
        <w:rPr>
          <w:b/>
        </w:rPr>
        <w:t xml:space="preserve">戸建住宅（640）vs 集合住宅（740）の差:</w:t>
      </w:r>
      <w:r>
        <w:t xml:space="preserve"> </w:t>
      </w:r>
      <w:r>
        <w:t xml:space="preserve">集合住宅は共用設備・地下駐車場等の付帯施設に起因する炭素排出が大きいため、上限が高めに設定されている</w:t>
      </w:r>
    </w:p>
    <w:p>
      <w:pPr>
        <w:pStyle w:val="Heading3"/>
      </w:pPr>
      <w:bookmarkStart w:id="59" w:name="適用単位と機能単位"/>
      <w:r>
        <w:t xml:space="preserve">1.3 適用単位と機能単位</w:t>
      </w:r>
      <w:bookmarkEnd w:id="59"/>
    </w:p>
    <w:p>
      <w:pPr>
        <w:pStyle w:val="FirstParagraph"/>
      </w:pPr>
      <w:r>
        <w:t xml:space="preserve">RE2020の評価は建物全体を対象とし、</w:t>
      </w:r>
      <w:r>
        <w:rPr>
          <w:b/>
        </w:rPr>
        <w:t xml:space="preserve">機能単位（functional unit）は「建物1棟、床面積1 m²、設計耐用年数50年」</w:t>
      </w:r>
      <w:r>
        <w:t xml:space="preserve">とされる（EN 15978準拠）。</w:t>
      </w:r>
    </w:p>
    <w:p>
      <w:pPr>
        <w:numPr>
          <w:ilvl w:val="0"/>
          <w:numId w:val="1010"/>
        </w:numPr>
        <w:pStyle w:val="Compact"/>
      </w:pPr>
      <w:r>
        <w:t xml:space="preserve">炭素指標</w:t>
      </w:r>
      <w:r>
        <w:t xml:space="preserve"> </w:t>
      </w:r>
      <m:oMath>
        <m:r>
          <m:t>I</m:t>
        </m:r>
        <m:r>
          <m:t>c</m:t>
        </m:r>
      </m:oMath>
      <w:r>
        <w:t xml:space="preserve"> </w:t>
      </w:r>
      <w:r>
        <w:t xml:space="preserve">の単位：</w:t>
      </w:r>
      <w:r>
        <w:rPr>
          <w:b/>
        </w:rPr>
        <w:t xml:space="preserve">kgCO₂eq/m²</w:t>
      </w:r>
      <w:r>
        <w:t xml:space="preserve">（床面積あたり）</w:t>
      </w:r>
    </w:p>
    <w:p>
      <w:pPr>
        <w:numPr>
          <w:ilvl w:val="0"/>
          <w:numId w:val="1010"/>
        </w:numPr>
        <w:pStyle w:val="Compact"/>
      </w:pPr>
      <w:r>
        <w:t xml:space="preserve">評価結果は Elodie等のツールで算出し、建築確認申請書類に添付する</w:t>
      </w:r>
    </w:p>
    <w:p>
      <w:pPr>
        <w:numPr>
          <w:ilvl w:val="0"/>
          <w:numId w:val="1010"/>
        </w:numPr>
        <w:pStyle w:val="Compact"/>
      </w:pPr>
      <w:r>
        <w:t xml:space="preserve">地域区分（気候ゾーン）により一部補正がある（フランス8気候ゾーン）</w:t>
      </w:r>
    </w:p>
    <w:p>
      <w:pPr>
        <w:pStyle w:val="FirstParagraph"/>
      </w:pPr>
      <w:r>
        <w:rPr>
          <w:b/>
        </w:rPr>
        <w:t xml:space="preserve">この機能単位と段階施行スケジュールが「適用範囲」を定義する。では、その</w:t>
      </w:r>
      <w:r>
        <w:rPr>
          <w:b/>
        </w:rPr>
        <w:t xml:space="preserve"> </w:t>
      </w:r>
      <m:oMath>
        <m:r>
          <m:t>I</m:t>
        </m:r>
        <m:r>
          <m:t>c</m:t>
        </m:r>
      </m:oMath>
      <w:r>
        <w:rPr>
          <w:b/>
        </w:rPr>
        <w:t xml:space="preserve"> </w:t>
      </w:r>
      <w:r>
        <w:rPr>
          <w:b/>
        </w:rPr>
        <w:t xml:space="preserve">はどのような数理的根拠によって計算されるのか——それが次節で追う「遅延排出の評価根拠（DCFの物理的根拠）」である。</w:t>
      </w:r>
    </w:p>
    <w:p>
      <w:r>
        <w:pict>
          <v:rect style="width:0;height:1.5pt" o:hralign="center" o:hrstd="t" o:hr="t"/>
        </w:pict>
      </w:r>
    </w:p>
    <w:p>
      <w:pPr>
        <w:pStyle w:val="Heading2"/>
      </w:pPr>
      <w:bookmarkStart w:id="60" w:name="遅延排出の評価根拠no.10"/>
      <w:r>
        <w:t xml:space="preserve">2. 遅延排出の評価根拠（No.10）</w:t>
      </w:r>
      <w:bookmarkEnd w:id="60"/>
    </w:p>
    <w:p>
      <w:pPr>
        <w:pStyle w:val="BlockText"/>
      </w:pPr>
      <w:r>
        <w:rPr>
          <w:b/>
        </w:rPr>
        <w:t xml:space="preserve">本節で分かること:</w:t>
      </w:r>
      <w:r>
        <w:t xml:space="preserve"> </w:t>
      </w:r>
      <w:r>
        <w:t xml:space="preserve">なぜ「後の排出ほど気候影響が小さい」と言えるのか。物理的根拠と数式を解説する。</w:t>
      </w:r>
    </w:p>
    <w:p>
      <w:pPr>
        <w:pStyle w:val="Heading3"/>
      </w:pPr>
      <w:bookmarkStart w:id="61" w:name="問題の本質時間と気候影響の関係"/>
      <w:r>
        <w:t xml:space="preserve">2.1 問題の本質：時間と気候影響の関係</w:t>
      </w:r>
      <w:bookmarkEnd w:id="61"/>
    </w:p>
    <w:p>
      <w:pPr>
        <w:pStyle w:val="FirstParagraph"/>
      </w:pPr>
      <w:r>
        <w:t xml:space="preserve">静的LCA（GWP100）は全ての排出・吸収フローを評価開始時点</w:t>
      </w:r>
      <w:r>
        <w:t xml:space="preserve"> </w:t>
      </w:r>
      <m:oMath>
        <m:r>
          <m:t>t</m:t>
        </m:r>
        <m:r>
          <m:t>=</m:t>
        </m:r>
        <m:r>
          <m:t>0</m:t>
        </m:r>
      </m:oMath>
      <w:r>
        <w:t xml:space="preserve"> </w:t>
      </w:r>
      <w:r>
        <w:t xml:space="preserve">に集約して扱う。しかし物理的には、</w:t>
      </w:r>
      <w:r>
        <w:rPr>
          <w:b/>
        </w:rPr>
        <w:t xml:space="preserve">今排出する CO₂ と 50年後に排出する CO₂ の気候への累積影響は等しくない</w:t>
      </w:r>
      <w:r>
        <w:t xml:space="preserve">。</w:t>
      </w:r>
    </w:p>
    <w:p>
      <w:pPr>
        <w:pStyle w:val="BodyText"/>
      </w:pPr>
      <w:r>
        <w:t xml:space="preserve">今日排出された CO₂ は今後100年間にわたって大気中に残存し続け、その間ずっと放射強制力（地球温暖化の駆動力）を生じさせる。一方、50年後に排出されるCO₂ は、100年の評価期間のうち残り50年分しか大気中にいないため、累積影響は必然的に小さくなる。</w:t>
      </w:r>
    </w:p>
    <w:p>
      <w:pPr>
        <w:pStyle w:val="BodyText"/>
      </w:pPr>
      <w:r>
        <w:t xml:space="preserve">この「時間的割引」を定量化したものが</w:t>
      </w:r>
      <w:r>
        <w:rPr>
          <w:b/>
        </w:rPr>
        <w:t xml:space="preserve">動的特性化係数（DCF: Dynamic Characterization Factor）</w:t>
      </w:r>
      <w:r>
        <w:t xml:space="preserve">である。</w:t>
      </w:r>
    </w:p>
    <w:p>
      <w:pPr>
        <w:pStyle w:val="Heading3"/>
      </w:pPr>
      <w:bookmarkStart w:id="62" w:name="dcfの定義と数理的根拠"/>
      <w:r>
        <w:t xml:space="preserve">2.2 DCFの定義と数理的根拠</w:t>
      </w:r>
      <w:bookmarkEnd w:id="62"/>
    </w:p>
    <w:p>
      <w:pPr>
        <w:pStyle w:val="FirstParagraph"/>
      </w:pPr>
      <w:r>
        <w:t xml:space="preserve">DCF は、Levasseur et al. (2010) により次のように定義される：</w:t>
      </w:r>
    </w:p>
    <w:p>
      <w:pPr>
        <w:pStyle w:val="BodyText"/>
      </w:pPr>
      <m:oMathPara>
        <m:oMathParaPr>
          <m:jc m:val="center"/>
        </m:oMathParaPr>
        <m:oMath>
          <m:r>
            <m:t>D</m:t>
          </m:r>
          <m:r>
            <m:t>C</m:t>
          </m:r>
          <m:r>
            <m:t>F</m:t>
          </m:r>
          <m:r>
            <m:t>(</m:t>
          </m:r>
          <m:sSub>
            <m:e>
              <m:r>
                <m:t>t</m:t>
              </m:r>
            </m:e>
            <m:sub>
              <m:r>
                <m:t>i</m:t>
              </m:r>
            </m:sub>
          </m:sSub>
          <m:r>
            <m:t>,</m:t>
          </m:r>
          <m:r>
            <m:t>D</m:t>
          </m:r>
          <m:r>
            <m:t>O</m:t>
          </m:r>
          <m:r>
            <m:t>)</m:t>
          </m:r>
          <m:r>
            <m:t>=</m:t>
          </m:r>
          <m:f>
            <m:fPr>
              <m:type m:val="bar"/>
            </m:fPr>
            <m:num>
              <m:r>
                <m:t>C</m:t>
              </m:r>
              <m:r>
                <m:t>R</m:t>
              </m:r>
              <m:r>
                <m:t>F</m:t>
              </m:r>
              <m:r>
                <m:t>(</m:t>
              </m:r>
              <m:sSub>
                <m:e>
                  <m:r>
                    <m:t>t</m:t>
                  </m:r>
                </m:e>
                <m:sub>
                  <m:r>
                    <m:t>i</m:t>
                  </m:r>
                </m:sub>
              </m:sSub>
              <m:r>
                <m:t>,</m:t>
              </m:r>
              <m:r>
                <m:t>D</m:t>
              </m:r>
              <m:r>
                <m:t>O</m:t>
              </m:r>
              <m:r>
                <m:t>)</m:t>
              </m:r>
            </m:num>
            <m:den>
              <m:r>
                <m:t>C</m:t>
              </m:r>
              <m:r>
                <m:t>R</m:t>
              </m:r>
              <m:r>
                <m:t>F</m:t>
              </m:r>
              <m:r>
                <m:t>(</m:t>
              </m:r>
              <m:r>
                <m:t>0</m:t>
              </m:r>
              <m:r>
                <m:t>,</m:t>
              </m:r>
              <m:r>
                <m:t>D</m:t>
              </m:r>
              <m:r>
                <m:t>O</m:t>
              </m:r>
              <m:r>
                <m:t>)</m:t>
              </m:r>
            </m:den>
          </m:f>
          <m:r>
            <m:t>=</m:t>
          </m:r>
          <m:f>
            <m:fPr>
              <m:type m:val="bar"/>
            </m:fPr>
            <m:num>
              <m:nary>
                <m:naryPr>
                  <m:chr m:val="∫"/>
                  <m:limLoc m:val="subSup"/>
                  <m:subHide m:val="0"/>
                  <m:supHide m:val="0"/>
                </m:naryPr>
                <m:sub>
                  <m:sSub>
                    <m:e>
                      <m:r>
                        <m:t>t</m:t>
                      </m:r>
                    </m:e>
                    <m:sub>
                      <m:r>
                        <m:t>i</m:t>
                      </m:r>
                    </m:sub>
                  </m:sSub>
                </m:sub>
                <m:sup>
                  <m:r>
                    <m:t>D</m:t>
                  </m:r>
                  <m:r>
                    <m:t>O</m:t>
                  </m:r>
                </m:sup>
                <m:e>
                  <m:sSub>
                    <m:e>
                      <m:r>
                        <m:t>a</m:t>
                      </m:r>
                    </m:e>
                    <m:sub>
                      <m:r>
                        <m:t>x</m:t>
                      </m:r>
                    </m:sub>
                  </m:sSub>
                </m:e>
              </m:nary>
              <m:r>
                <m:t>⋅</m:t>
              </m:r>
              <m:r>
                <m:t>r</m:t>
              </m:r>
              <m:r>
                <m:t>(</m:t>
              </m:r>
              <m:r>
                <m:t>t</m:t>
              </m:r>
              <m:r>
                <m:t>−</m:t>
              </m:r>
              <m:sSub>
                <m:e>
                  <m:r>
                    <m:t>t</m:t>
                  </m:r>
                </m:e>
                <m:sub>
                  <m:r>
                    <m:t>i</m:t>
                  </m:r>
                </m:sub>
              </m:sSub>
              <m:r>
                <m:t>)</m:t>
              </m:r>
              <m:r>
                <m:t> </m:t>
              </m:r>
              <m:r>
                <m:t>d</m:t>
              </m:r>
              <m:r>
                <m:t>t</m:t>
              </m:r>
            </m:num>
            <m:den>
              <m:nary>
                <m:naryPr>
                  <m:chr m:val="∫"/>
                  <m:limLoc m:val="subSup"/>
                  <m:subHide m:val="0"/>
                  <m:supHide m:val="0"/>
                </m:naryPr>
                <m:sub>
                  <m:r>
                    <m:t>0</m:t>
                  </m:r>
                </m:sub>
                <m:sup>
                  <m:r>
                    <m:t>D</m:t>
                  </m:r>
                  <m:r>
                    <m:t>O</m:t>
                  </m:r>
                </m:sup>
                <m:e>
                  <m:sSub>
                    <m:e>
                      <m:r>
                        <m:t>a</m:t>
                      </m:r>
                    </m:e>
                    <m:sub>
                      <m:r>
                        <m:t>x</m:t>
                      </m:r>
                    </m:sub>
                  </m:sSub>
                </m:e>
              </m:nary>
              <m:r>
                <m:t>⋅</m:t>
              </m:r>
              <m:r>
                <m:t>r</m:t>
              </m:r>
              <m:r>
                <m:t>(</m:t>
              </m:r>
              <m:r>
                <m:t>t</m:t>
              </m:r>
              <m:r>
                <m:t>)</m:t>
              </m:r>
              <m:r>
                <m:t> </m:t>
              </m:r>
              <m:r>
                <m:t>d</m:t>
              </m:r>
              <m:r>
                <m:t>t</m:t>
              </m:r>
            </m:den>
          </m:f>
        </m:oMath>
      </m:oMathPara>
    </w:p>
    <w:p>
      <w:pPr>
        <w:numPr>
          <w:ilvl w:val="0"/>
          <w:numId w:val="1011"/>
        </w:numPr>
        <w:pStyle w:val="Compact"/>
      </w:pPr>
      <m:oMath>
        <m:r>
          <m:t>C</m:t>
        </m:r>
        <m:r>
          <m:t>R</m:t>
        </m:r>
        <m:r>
          <m:t>F</m:t>
        </m:r>
        <m:r>
          <m:t>(</m:t>
        </m:r>
        <m:sSub>
          <m:e>
            <m:r>
              <m:t>t</m:t>
            </m:r>
          </m:e>
          <m:sub>
            <m:r>
              <m:t>i</m:t>
            </m:r>
          </m:sub>
        </m:sSub>
        <m:r>
          <m:t>,</m:t>
        </m:r>
        <m:r>
          <m:t>D</m:t>
        </m:r>
        <m:r>
          <m:t>O</m:t>
        </m:r>
        <m:r>
          <m:t>)</m:t>
        </m:r>
      </m:oMath>
      <w:r>
        <w:t xml:space="preserve">: 時刻</w:t>
      </w:r>
      <w:r>
        <w:t xml:space="preserve"> </w:t>
      </w:r>
      <m:oMath>
        <m:sSub>
          <m:e>
            <m:r>
              <m:t>t</m:t>
            </m:r>
          </m:e>
          <m:sub>
            <m:r>
              <m:t>i</m:t>
            </m:r>
          </m:sub>
        </m:sSub>
      </m:oMath>
      <w:r>
        <w:t xml:space="preserve"> </w:t>
      </w:r>
      <w:r>
        <w:t xml:space="preserve">に排出された単位GHGが時間</w:t>
      </w:r>
      <w:r>
        <w:t xml:space="preserve"> </w:t>
      </w:r>
      <m:oMath>
        <m:r>
          <m:t>[</m:t>
        </m:r>
        <m:sSub>
          <m:e>
            <m:r>
              <m:t>t</m:t>
            </m:r>
          </m:e>
          <m:sub>
            <m:r>
              <m:t>i</m:t>
            </m:r>
          </m:sub>
        </m:sSub>
        <m:r>
          <m:t>,</m:t>
        </m:r>
        <m:r>
          <m:t>D</m:t>
        </m:r>
        <m:r>
          <m:t>O</m:t>
        </m:r>
        <m:r>
          <m:t>]</m:t>
        </m:r>
      </m:oMath>
      <w:r>
        <w:t xml:space="preserve"> </w:t>
      </w:r>
      <w:r>
        <w:t xml:space="preserve">に生じる</w:t>
      </w:r>
      <w:r>
        <w:rPr>
          <w:b/>
        </w:rPr>
        <w:t xml:space="preserve">累積放射強制力</w:t>
      </w:r>
      <w:r>
        <w:t xml:space="preserve">（Cumulative Radiative Forcing）</w:t>
      </w:r>
    </w:p>
    <w:p>
      <w:pPr>
        <w:numPr>
          <w:ilvl w:val="0"/>
          <w:numId w:val="1011"/>
        </w:numPr>
        <w:pStyle w:val="Compact"/>
      </w:pPr>
      <m:oMath>
        <m:r>
          <m:t>C</m:t>
        </m:r>
        <m:r>
          <m:t>R</m:t>
        </m:r>
        <m:r>
          <m:t>F</m:t>
        </m:r>
        <m:r>
          <m:t>(</m:t>
        </m:r>
        <m:r>
          <m:t>0</m:t>
        </m:r>
        <m:r>
          <m:t>,</m:t>
        </m:r>
        <m:r>
          <m:t>D</m:t>
        </m:r>
        <m:r>
          <m:t>O</m:t>
        </m:r>
        <m:r>
          <m:t>)</m:t>
        </m:r>
      </m:oMath>
      <w:r>
        <w:t xml:space="preserve">: 即時排出（</w:t>
      </w:r>
      <m:oMath>
        <m:sSub>
          <m:e>
            <m:r>
              <m:t>t</m:t>
            </m:r>
          </m:e>
          <m:sub>
            <m:r>
              <m:t>i</m:t>
            </m:r>
          </m:sub>
        </m:sSub>
        <m:r>
          <m:t>=</m:t>
        </m:r>
        <m:r>
          <m:t>0</m:t>
        </m:r>
      </m:oMath>
      <w:r>
        <w:t xml:space="preserve">）の場合の</w:t>
      </w:r>
      <w:r>
        <w:t xml:space="preserve"> </w:t>
      </w:r>
      <m:oMath>
        <m:r>
          <m:t>[</m:t>
        </m:r>
        <m:r>
          <m:t>0</m:t>
        </m:r>
        <m:r>
          <m:t>,</m:t>
        </m:r>
        <m:r>
          <m:t>D</m:t>
        </m:r>
        <m:r>
          <m:t>O</m:t>
        </m:r>
        <m:r>
          <m:t>]</m:t>
        </m:r>
      </m:oMath>
      <w:r>
        <w:t xml:space="preserve"> </w:t>
      </w:r>
      <w:r>
        <w:t xml:space="preserve">における累積放射強制力（正規化の分母）</w:t>
      </w:r>
    </w:p>
    <w:p>
      <w:pPr>
        <w:numPr>
          <w:ilvl w:val="0"/>
          <w:numId w:val="1011"/>
        </w:numPr>
        <w:pStyle w:val="Compact"/>
      </w:pPr>
      <m:oMath>
        <m:sSub>
          <m:e>
            <m:r>
              <m:t>a</m:t>
            </m:r>
          </m:e>
          <m:sub>
            <m:r>
              <m:t>x</m:t>
            </m:r>
          </m:sub>
        </m:sSub>
      </m:oMath>
      <w:r>
        <w:t xml:space="preserve">: CO₂の放射強制力係数（AR4ベースで約</w:t>
      </w:r>
      <w:r>
        <w:t xml:space="preserve"> </w:t>
      </w:r>
      <m:oMath>
        <m:r>
          <m:t>1.7</m:t>
        </m:r>
        <m:r>
          <m:t>×</m:t>
        </m:r>
        <m:sSup>
          <m:e>
            <m:r>
              <m:t>10</m:t>
            </m:r>
          </m:e>
          <m:sup>
            <m:r>
              <m:t>−</m:t>
            </m:r>
            <m:r>
              <m:t>15</m:t>
            </m:r>
          </m:sup>
        </m:sSup>
      </m:oMath>
      <w:r>
        <w:t xml:space="preserve"> </w:t>
      </w:r>
      <w:r>
        <w:t xml:space="preserve">W·m⁻²·(kgCO₂)⁻¹ のオーダー。文献により値に幅があり要原典確認。なおDCFは比であるため</w:t>
      </w:r>
      <w:r>
        <w:t xml:space="preserve"> </w:t>
      </w:r>
      <m:oMath>
        <m:sSub>
          <m:e>
            <m:r>
              <m:t>a</m:t>
            </m:r>
          </m:e>
          <m:sub>
            <m:r>
              <m:t>x</m:t>
            </m:r>
          </m:sub>
        </m:sSub>
      </m:oMath>
      <w:r>
        <w:t xml:space="preserve"> </w:t>
      </w:r>
      <w:r>
        <w:t xml:space="preserve">は分子分母で相殺され、結果に影響しない）</w:t>
      </w:r>
    </w:p>
    <w:p>
      <w:pPr>
        <w:numPr>
          <w:ilvl w:val="0"/>
          <w:numId w:val="1011"/>
        </w:numPr>
        <w:pStyle w:val="Compact"/>
      </w:pPr>
      <m:oMath>
        <m:r>
          <m:t>r</m:t>
        </m:r>
        <m:r>
          <m:t>(</m:t>
        </m:r>
        <m:r>
          <m:t>t</m:t>
        </m:r>
        <m:r>
          <m:t>)</m:t>
        </m:r>
      </m:oMath>
      <w:r>
        <w:t xml:space="preserve">: 大気中CO₂濃度の時間応答関数（インパルス応答）</w:t>
      </w:r>
    </w:p>
    <w:p>
      <w:pPr>
        <w:numPr>
          <w:ilvl w:val="0"/>
          <w:numId w:val="1011"/>
        </w:numPr>
        <w:pStyle w:val="Compact"/>
      </w:pPr>
      <m:oMath>
        <m:r>
          <m:t>D</m:t>
        </m:r>
        <m:r>
          <m:t>O</m:t>
        </m:r>
      </m:oMath>
      <w:r>
        <w:t xml:space="preserve">: 時間地平線（Time Horizon）。RE2020では</w:t>
      </w:r>
      <w:r>
        <w:t xml:space="preserve"> </w:t>
      </w:r>
      <w:r>
        <w:rPr>
          <w:b/>
        </w:rPr>
        <w:t xml:space="preserve">100年</w:t>
      </w:r>
      <w:r>
        <w:t xml:space="preserve"> </w:t>
      </w:r>
      <w:r>
        <w:t xml:space="preserve">を固定採用。</w:t>
      </w:r>
    </w:p>
    <w:p>
      <w:pPr>
        <w:pStyle w:val="FirstParagraph"/>
      </w:pPr>
      <w:r>
        <w:rPr>
          <w:b/>
        </w:rPr>
        <w:t xml:space="preserve">物理的解釈:</w:t>
      </w:r>
      <w:r>
        <w:t xml:space="preserve"> </w:t>
      </w:r>
      <w:r>
        <w:t xml:space="preserve">DCFは「時刻</w:t>
      </w:r>
      <w:r>
        <w:t xml:space="preserve"> </w:t>
      </w:r>
      <m:oMath>
        <m:sSub>
          <m:e>
            <m:r>
              <m:t>t</m:t>
            </m:r>
          </m:e>
          <m:sub>
            <m:r>
              <m:t>i</m:t>
            </m:r>
          </m:sub>
        </m:sSub>
      </m:oMath>
      <w:r>
        <w:t xml:space="preserve"> </w:t>
      </w:r>
      <w:r>
        <w:t xml:space="preserve">に排出されたGHGの気候累積影響」を「即時排出の場合の気候累積影響」で正規化した比である。</w:t>
      </w:r>
      <m:oMath>
        <m:r>
          <m:t>0</m:t>
        </m:r>
        <m:r>
          <m:t>≤</m:t>
        </m:r>
        <m:r>
          <m:t>D</m:t>
        </m:r>
        <m:r>
          <m:t>C</m:t>
        </m:r>
        <m:r>
          <m:t>F</m:t>
        </m:r>
        <m:r>
          <m:t>≤</m:t>
        </m:r>
        <m:r>
          <m:t>1</m:t>
        </m:r>
      </m:oMath>
      <w:r>
        <w:t xml:space="preserve"> </w:t>
      </w:r>
      <w:r>
        <w:t xml:space="preserve">の値をとり、</w:t>
      </w:r>
      <w:r>
        <w:rPr>
          <w:b/>
        </w:rPr>
        <w:t xml:space="preserve">早期排出ほど1に近く（影響大）、後年の排出ほど0に近い（影響小）</w:t>
      </w:r>
      <w:r>
        <w:t xml:space="preserve">。</w:t>
      </w:r>
    </w:p>
    <w:p>
      <w:pPr>
        <w:pStyle w:val="Heading3"/>
      </w:pPr>
      <w:bookmarkStart w:id="63" w:name="大気中co₂応答モデルipcc-ar4-bern2.5cc"/>
      <w:r>
        <w:t xml:space="preserve">2.3 大気中CO₂応答モデル：IPCC AR4 Bern2.5CC</w:t>
      </w:r>
      <w:bookmarkEnd w:id="63"/>
    </w:p>
    <w:p>
      <w:pPr>
        <w:pStyle w:val="FirstParagraph"/>
      </w:pPr>
      <m:oMath>
        <m:r>
          <m:t>r</m:t>
        </m:r>
        <m:r>
          <m:t>(</m:t>
        </m:r>
        <m:r>
          <m:t>t</m:t>
        </m:r>
        <m:r>
          <m:t>)</m:t>
        </m:r>
      </m:oMath>
      <w:r>
        <w:t xml:space="preserve">（大気中CO₂の残存率）の計算にはIPCC第4次評価報告書（AR4）採用の</w:t>
      </w:r>
      <w:r>
        <w:rPr>
          <w:b/>
        </w:rPr>
        <w:t xml:space="preserve">Bern2.5CCモデル</w:t>
      </w:r>
      <w:r>
        <w:t xml:space="preserve">を使用する：</w:t>
      </w:r>
    </w:p>
    <w:p>
      <w:pPr>
        <w:pStyle w:val="BodyText"/>
      </w:pPr>
      <m:oMathPara>
        <m:oMathParaPr>
          <m:jc m:val="center"/>
        </m:oMathParaPr>
        <m:oMath>
          <m:r>
            <m:t>r</m:t>
          </m:r>
          <m:r>
            <m:t>(</m:t>
          </m:r>
          <m:r>
            <m:t>t</m:t>
          </m:r>
          <m:r>
            <m:t>)</m:t>
          </m:r>
          <m:r>
            <m:t>=</m:t>
          </m:r>
          <m:sSub>
            <m:e>
              <m:r>
                <m:t>c</m:t>
              </m:r>
            </m:e>
            <m:sub>
              <m:r>
                <m:t>0</m:t>
              </m:r>
            </m:sub>
          </m:sSub>
          <m:r>
            <m:t>+</m:t>
          </m:r>
          <m:sSub>
            <m:e>
              <m:r>
                <m:t>c</m:t>
              </m:r>
            </m:e>
            <m:sub>
              <m:r>
                <m:t>1</m:t>
              </m:r>
            </m:sub>
          </m:sSub>
          <m:r>
            <m:t>⋅</m:t>
          </m:r>
          <m:sSup>
            <m:e>
              <m:r>
                <m:t>e</m:t>
              </m:r>
            </m:e>
            <m:sup>
              <m:r>
                <m:t>−</m:t>
              </m:r>
              <m:r>
                <m:t>t</m:t>
              </m:r>
              <m:r>
                <m:t>/</m:t>
              </m:r>
              <m:sSub>
                <m:e>
                  <m:r>
                    <m:t>τ</m:t>
                  </m:r>
                </m:e>
                <m:sub>
                  <m:r>
                    <m:t>1</m:t>
                  </m:r>
                </m:sub>
              </m:sSub>
            </m:sup>
          </m:sSup>
          <m:r>
            <m:t>+</m:t>
          </m:r>
          <m:sSub>
            <m:e>
              <m:r>
                <m:t>c</m:t>
              </m:r>
            </m:e>
            <m:sub>
              <m:r>
                <m:t>2</m:t>
              </m:r>
            </m:sub>
          </m:sSub>
          <m:r>
            <m:t>⋅</m:t>
          </m:r>
          <m:sSup>
            <m:e>
              <m:r>
                <m:t>e</m:t>
              </m:r>
            </m:e>
            <m:sup>
              <m:r>
                <m:t>−</m:t>
              </m:r>
              <m:r>
                <m:t>t</m:t>
              </m:r>
              <m:r>
                <m:t>/</m:t>
              </m:r>
              <m:sSub>
                <m:e>
                  <m:r>
                    <m:t>τ</m:t>
                  </m:r>
                </m:e>
                <m:sub>
                  <m:r>
                    <m:t>2</m:t>
                  </m:r>
                </m:sub>
              </m:sSub>
            </m:sup>
          </m:sSup>
          <m:r>
            <m:t>+</m:t>
          </m:r>
          <m:sSub>
            <m:e>
              <m:r>
                <m:t>c</m:t>
              </m:r>
            </m:e>
            <m:sub>
              <m:r>
                <m:t>3</m:t>
              </m:r>
            </m:sub>
          </m:sSub>
          <m:r>
            <m:t>⋅</m:t>
          </m:r>
          <m:sSup>
            <m:e>
              <m:r>
                <m:t>e</m:t>
              </m:r>
            </m:e>
            <m:sup>
              <m:r>
                <m:t>−</m:t>
              </m:r>
              <m:r>
                <m:t>t</m:t>
              </m:r>
              <m:r>
                <m:t>/</m:t>
              </m:r>
              <m:sSub>
                <m:e>
                  <m:r>
                    <m:t>τ</m:t>
                  </m:r>
                </m:e>
                <m:sub>
                  <m:r>
                    <m:t>3</m:t>
                  </m:r>
                </m:sub>
              </m:sSub>
            </m:sup>
          </m:sSup>
        </m:oMath>
      </m:oMathPara>
    </w:p>
    <w:tbl>
      <w:tblPr>
        <w:tblStyle w:val="Table"/>
        <w:tblW w:type="pct" w:w="0.0"/>
        <w:tblLook w:firstRow="1"/>
      </w:tblPr>
      <w:tblGrid/>
      <w:tr>
        <w:trPr>
          <w:cnfStyle w:firstRow="1"/>
        </w:trPr>
        <w:tc>
          <w:tcPr>
            <w:tcBorders>
              <w:bottom w:val="single"/>
            </w:tcBorders>
            <w:vAlign w:val="bottom"/>
          </w:tcPr>
          <w:p>
            <w:pPr>
              <w:pStyle w:val="Compact"/>
              <w:jc w:val="left"/>
            </w:pPr>
            <w:r>
              <w:t xml:space="preserve">パラメータ</w:t>
            </w:r>
          </w:p>
        </w:tc>
        <w:tc>
          <w:tcPr>
            <w:tcBorders>
              <w:bottom w:val="single"/>
            </w:tcBorders>
            <w:vAlign w:val="bottom"/>
          </w:tcPr>
          <w:p>
            <w:pPr>
              <w:pStyle w:val="Compact"/>
              <w:jc w:val="left"/>
            </w:pPr>
            <w:r>
              <w:t xml:space="preserve">数値</w:t>
            </w:r>
          </w:p>
        </w:tc>
        <w:tc>
          <w:tcPr>
            <w:tcBorders>
              <w:bottom w:val="single"/>
            </w:tcBorders>
            <w:vAlign w:val="bottom"/>
          </w:tcPr>
          <w:p>
            <w:pPr>
              <w:pStyle w:val="Compact"/>
              <w:jc w:val="left"/>
            </w:pPr>
            <w:r>
              <w:t xml:space="preserve">物理的意味</w:t>
            </w:r>
          </w:p>
        </w:tc>
      </w:tr>
      <w:tr>
        <w:tc>
          <w:p>
            <w:pPr>
              <w:pStyle w:val="Compact"/>
              <w:jc w:val="left"/>
            </w:pPr>
            <m:oMath>
              <m:sSub>
                <m:e>
                  <m:r>
                    <m:t>c</m:t>
                  </m:r>
                </m:e>
                <m:sub>
                  <m:r>
                    <m:t>0</m:t>
                  </m:r>
                </m:sub>
              </m:sSub>
            </m:oMath>
          </w:p>
        </w:tc>
        <w:tc>
          <w:p>
            <w:pPr>
              <w:pStyle w:val="Compact"/>
              <w:jc w:val="left"/>
            </w:pPr>
            <w:r>
              <w:t xml:space="preserve">0.217</w:t>
            </w:r>
          </w:p>
        </w:tc>
        <w:tc>
          <w:p>
            <w:pPr>
              <w:pStyle w:val="Compact"/>
              <w:jc w:val="left"/>
            </w:pPr>
            <w:r>
              <w:t xml:space="preserve">大気中に</w:t>
            </w:r>
            <w:r>
              <w:rPr>
                <w:b/>
              </w:rPr>
              <w:t xml:space="preserve">永続残存</w:t>
            </w:r>
            <w:r>
              <w:t xml:space="preserve">する成分（数千年スケール、炭酸塩平衡）</w:t>
            </w:r>
          </w:p>
        </w:tc>
      </w:tr>
      <w:tr>
        <w:tc>
          <w:p>
            <w:pPr>
              <w:pStyle w:val="Compact"/>
              <w:jc w:val="left"/>
            </w:pPr>
            <m:oMath>
              <m:sSub>
                <m:e>
                  <m:r>
                    <m:t>c</m:t>
                  </m:r>
                </m:e>
                <m:sub>
                  <m:r>
                    <m:t>1</m:t>
                  </m:r>
                </m:sub>
              </m:sSub>
            </m:oMath>
          </w:p>
        </w:tc>
        <w:tc>
          <w:p>
            <w:pPr>
              <w:pStyle w:val="Compact"/>
              <w:jc w:val="left"/>
            </w:pPr>
            <w:r>
              <w:t xml:space="preserve">0.259</w:t>
            </w:r>
          </w:p>
        </w:tc>
        <w:tc>
          <w:p>
            <w:pPr>
              <w:pStyle w:val="Compact"/>
              <w:jc w:val="left"/>
            </w:pPr>
            <w:r>
              <w:rPr>
                <w:b/>
              </w:rPr>
              <w:t xml:space="preserve">深層海洋</w:t>
            </w:r>
            <w:r>
              <w:t xml:space="preserve">による吸収（時定数</w:t>
            </w:r>
            <w:r>
              <w:t xml:space="preserve"> </w:t>
            </w:r>
            <m:oMath>
              <m:sSub>
                <m:e>
                  <m:r>
                    <m:t>τ</m:t>
                  </m:r>
                </m:e>
                <m:sub>
                  <m:r>
                    <m:t>1</m:t>
                  </m:r>
                </m:sub>
              </m:sSub>
              <m:r>
                <m:t>=</m:t>
              </m:r>
              <m:r>
                <m:t>172.9</m:t>
              </m:r>
            </m:oMath>
            <w:r>
              <w:t xml:space="preserve"> </w:t>
            </w:r>
            <w:r>
              <w:t xml:space="preserve">年）</w:t>
            </w:r>
          </w:p>
        </w:tc>
      </w:tr>
      <w:tr>
        <w:tc>
          <w:p>
            <w:pPr>
              <w:pStyle w:val="Compact"/>
              <w:jc w:val="left"/>
            </w:pPr>
            <m:oMath>
              <m:sSub>
                <m:e>
                  <m:r>
                    <m:t>c</m:t>
                  </m:r>
                </m:e>
                <m:sub>
                  <m:r>
                    <m:t>2</m:t>
                  </m:r>
                </m:sub>
              </m:sSub>
            </m:oMath>
          </w:p>
        </w:tc>
        <w:tc>
          <w:p>
            <w:pPr>
              <w:pStyle w:val="Compact"/>
              <w:jc w:val="left"/>
            </w:pPr>
            <w:r>
              <w:t xml:space="preserve">0.338</w:t>
            </w:r>
          </w:p>
        </w:tc>
        <w:tc>
          <w:p>
            <w:pPr>
              <w:pStyle w:val="Compact"/>
              <w:jc w:val="left"/>
            </w:pPr>
            <w:r>
              <w:rPr>
                <w:b/>
              </w:rPr>
              <w:t xml:space="preserve">海洋上層・中層</w:t>
            </w:r>
            <w:r>
              <w:t xml:space="preserve">による吸収（時定数</w:t>
            </w:r>
            <w:r>
              <w:t xml:space="preserve"> </w:t>
            </w:r>
            <m:oMath>
              <m:sSub>
                <m:e>
                  <m:r>
                    <m:t>τ</m:t>
                  </m:r>
                </m:e>
                <m:sub>
                  <m:r>
                    <m:t>2</m:t>
                  </m:r>
                </m:sub>
              </m:sSub>
              <m:r>
                <m:t>=</m:t>
              </m:r>
              <m:r>
                <m:t>18.51</m:t>
              </m:r>
            </m:oMath>
            <w:r>
              <w:t xml:space="preserve"> </w:t>
            </w:r>
            <w:r>
              <w:t xml:space="preserve">年）</w:t>
            </w:r>
          </w:p>
        </w:tc>
      </w:tr>
      <w:tr>
        <w:tc>
          <w:p>
            <w:pPr>
              <w:pStyle w:val="Compact"/>
              <w:jc w:val="left"/>
            </w:pPr>
            <m:oMath>
              <m:sSub>
                <m:e>
                  <m:r>
                    <m:t>c</m:t>
                  </m:r>
                </m:e>
                <m:sub>
                  <m:r>
                    <m:t>3</m:t>
                  </m:r>
                </m:sub>
              </m:sSub>
            </m:oMath>
          </w:p>
        </w:tc>
        <w:tc>
          <w:p>
            <w:pPr>
              <w:pStyle w:val="Compact"/>
              <w:jc w:val="left"/>
            </w:pPr>
            <w:r>
              <w:t xml:space="preserve">0.186</w:t>
            </w:r>
          </w:p>
        </w:tc>
        <w:tc>
          <w:p>
            <w:pPr>
              <w:pStyle w:val="Compact"/>
              <w:jc w:val="left"/>
            </w:pPr>
            <w:r>
              <w:rPr>
                <w:b/>
              </w:rPr>
              <w:t xml:space="preserve">生物圏・土壌</w:t>
            </w:r>
            <w:r>
              <w:t xml:space="preserve">による短期吸収（時定数</w:t>
            </w:r>
            <w:r>
              <w:t xml:space="preserve"> </w:t>
            </w:r>
            <m:oMath>
              <m:sSub>
                <m:e>
                  <m:r>
                    <m:t>τ</m:t>
                  </m:r>
                </m:e>
                <m:sub>
                  <m:r>
                    <m:t>3</m:t>
                  </m:r>
                </m:sub>
              </m:sSub>
              <m:r>
                <m:t>=</m:t>
              </m:r>
              <m:r>
                <m:t>1.186</m:t>
              </m:r>
            </m:oMath>
            <w:r>
              <w:t xml:space="preserve"> </w:t>
            </w:r>
            <w:r>
              <w:t xml:space="preserve">年）</w:t>
            </w:r>
          </w:p>
        </w:tc>
      </w:tr>
      <w:tr>
        <w:tc>
          <w:p>
            <w:pPr>
              <w:pStyle w:val="Compact"/>
              <w:jc w:val="left"/>
            </w:pPr>
            <m:oMath>
              <m:sSub>
                <m:e>
                  <m:r>
                    <m:t>a</m:t>
                  </m:r>
                </m:e>
                <m:sub>
                  <m:r>
                    <m:t>x</m:t>
                  </m:r>
                </m:sub>
              </m:sSub>
            </m:oMath>
          </w:p>
        </w:tc>
        <w:tc>
          <w:p>
            <w:pPr>
              <w:pStyle w:val="Compact"/>
              <w:jc w:val="left"/>
            </w:pPr>
            <m:oMath>
              <m:r>
                <m:t>1.55</m:t>
              </m:r>
              <m:r>
                <m:t>×</m:t>
              </m:r>
              <m:sSup>
                <m:e>
                  <m:r>
                    <m:t>10</m:t>
                  </m:r>
                </m:e>
                <m:sup>
                  <m:r>
                    <m:t>−</m:t>
                  </m:r>
                  <m:r>
                    <m:t>15</m:t>
                  </m:r>
                </m:sup>
              </m:sSup>
            </m:oMath>
          </w:p>
        </w:tc>
        <w:tc>
          <w:p>
            <w:pPr>
              <w:pStyle w:val="Compact"/>
              <w:jc w:val="left"/>
            </w:pPr>
            <w:r>
              <w:t xml:space="preserve">CO₂の</w:t>
            </w:r>
            <w:r>
              <w:rPr>
                <w:b/>
              </w:rPr>
              <w:t xml:space="preserve">放射強制力係数</w:t>
            </w:r>
            <w:r>
              <w:t xml:space="preserve"> </w:t>
            </w:r>
            <w:r>
              <w:t xml:space="preserve">[W·m⁻²·(kgCO₂)⁻¹]</w:t>
            </w:r>
          </w:p>
        </w:tc>
      </w:tr>
    </w:tbl>
    <w:p>
      <w:pPr>
        <w:pStyle w:val="BodyText"/>
      </w:pPr>
      <w:r>
        <w:rPr>
          <w:b/>
        </w:rPr>
        <w:t xml:space="preserve">モデル検証（数値例）:</w:t>
      </w:r>
      <w:r>
        <w:t xml:space="preserve"> </w:t>
      </w:r>
      <m:oMath>
        <m:r>
          <m:t>t</m:t>
        </m:r>
        <m:r>
          <m:t>=</m:t>
        </m:r>
        <m:r>
          <m:t>1000</m:t>
        </m:r>
      </m:oMath>
      <w:r>
        <w:t xml:space="preserve"> </w:t>
      </w:r>
      <w:r>
        <w:t xml:space="preserve">年では</w:t>
      </w:r>
      <w:r>
        <w:t xml:space="preserve"> </w:t>
      </w:r>
      <m:oMath>
        <m:r>
          <m:t>r</m:t>
        </m:r>
        <m:r>
          <m:t>(</m:t>
        </m:r>
        <m:r>
          <m:t>1000</m:t>
        </m:r>
        <m:r>
          <m:t>)</m:t>
        </m:r>
        <m:r>
          <m:t>≈</m:t>
        </m:r>
        <m:r>
          <m:t>0.217</m:t>
        </m:r>
        <m:r>
          <m:t>+</m:t>
        </m:r>
        <m:r>
          <m:t>0.259</m:t>
        </m:r>
        <m:r>
          <m:t>⋅</m:t>
        </m:r>
        <m:sSup>
          <m:e>
            <m:r>
              <m:t>e</m:t>
            </m:r>
          </m:e>
          <m:sup>
            <m:r>
              <m:t>−</m:t>
            </m:r>
            <m:r>
              <m:t>5.79</m:t>
            </m:r>
          </m:sup>
        </m:sSup>
        <m:r>
          <m:t>≈</m:t>
        </m:r>
        <m:r>
          <m:t>22.4</m:t>
        </m:r>
        <m:r>
          <m:t>%</m:t>
        </m:r>
      </m:oMath>
      <w:r>
        <w:t xml:space="preserve">（IPCCの「約22%が永続残存」と整合）。</w:t>
      </w:r>
    </w:p>
    <w:p>
      <w:pPr>
        <w:pStyle w:val="BlockText"/>
      </w:pPr>
      <w:r>
        <w:rPr>
          <w:b/>
        </w:rPr>
        <w:t xml:space="preserve">⚠️ 留保注記:</w:t>
      </w:r>
      <w:r>
        <w:t xml:space="preserve"> </w:t>
      </w:r>
      <w:r>
        <w:t xml:space="preserve">フランス語文献に「</w:t>
      </w:r>
      <m:oMath>
        <m:sSub>
          <m:e>
            <m:r>
              <m:t>τ</m:t>
            </m:r>
          </m:e>
          <m:sub>
            <m:r>
              <m:t>1</m:t>
            </m:r>
          </m:sub>
        </m:sSub>
        <m:r>
          <m:t>=</m:t>
        </m:r>
        <m:r>
          <m:t>1729</m:t>
        </m:r>
      </m:oMath>
      <w:r>
        <w:t xml:space="preserve">」と記載される場合（千位区切り表記）は</w:t>
      </w:r>
      <w:r>
        <w:t xml:space="preserve"> </w:t>
      </w:r>
      <m:oMath>
        <m:sSub>
          <m:e>
            <m:r>
              <m:t>τ</m:t>
            </m:r>
          </m:e>
          <m:sub>
            <m:r>
              <m:t>1</m:t>
            </m:r>
          </m:sub>
        </m:sSub>
        <m:r>
          <m:t>=</m:t>
        </m:r>
        <m:r>
          <m:t>172.9</m:t>
        </m:r>
      </m:oMath>
      <w:r>
        <w:t xml:space="preserve"> </w:t>
      </w:r>
      <w:r>
        <w:t xml:space="preserve">年を意味する（第1編報告書 §4.3参照）。</w:t>
      </w:r>
    </w:p>
    <w:p>
      <w:pPr>
        <w:pStyle w:val="Heading3"/>
      </w:pPr>
      <w:bookmarkStart w:id="64" w:name="dcf計算の4ステップ"/>
      <w:r>
        <w:t xml:space="preserve">2.4 DCF計算の4ステップ</w:t>
      </w:r>
      <w:bookmarkEnd w:id="64"/>
    </w:p>
    <w:p>
      <w:pPr>
        <w:numPr>
          <w:ilvl w:val="0"/>
          <w:numId w:val="1012"/>
        </w:numPr>
        <w:pStyle w:val="Compact"/>
      </w:pPr>
      <m:oMath>
        <m:r>
          <m:t>r</m:t>
        </m:r>
        <m:r>
          <m:t>(</m:t>
        </m:r>
        <m:r>
          <m:t>t</m:t>
        </m:r>
        <m:r>
          <m:t>)</m:t>
        </m:r>
      </m:oMath>
      <w:r>
        <w:t xml:space="preserve"> </w:t>
      </w:r>
      <w:r>
        <w:t xml:space="preserve">を</w:t>
      </w:r>
      <w:r>
        <w:t xml:space="preserve"> </w:t>
      </w:r>
      <m:oMath>
        <m:r>
          <m:t>0</m:t>
        </m:r>
      </m:oMath>
      <w:r>
        <w:t xml:space="preserve"> </w:t>
      </w:r>
      <w:r>
        <w:t xml:space="preserve">から</w:t>
      </w:r>
      <w:r>
        <w:t xml:space="preserve"> </w:t>
      </w:r>
      <m:oMath>
        <m:r>
          <m:t>D</m:t>
        </m:r>
        <m:r>
          <m:t>O</m:t>
        </m:r>
        <m:r>
          <m:t>−</m:t>
        </m:r>
        <m:sSub>
          <m:e>
            <m:r>
              <m:t>t</m:t>
            </m:r>
          </m:e>
          <m:sub>
            <m:r>
              <m:t>i</m:t>
            </m:r>
          </m:sub>
        </m:sSub>
      </m:oMath>
      <w:r>
        <w:t xml:space="preserve"> </w:t>
      </w:r>
      <w:r>
        <w:t xml:space="preserve">まで数値積分し、放射強制力</w:t>
      </w:r>
      <w:r>
        <w:t xml:space="preserve"> </w:t>
      </w:r>
      <m:oMath>
        <m:r>
          <m:t>R</m:t>
        </m:r>
        <m:r>
          <m:t>F</m:t>
        </m:r>
        <m:r>
          <m:t>(</m:t>
        </m:r>
        <m:r>
          <m:t>t</m:t>
        </m:r>
        <m:r>
          <m:t>)</m:t>
        </m:r>
        <m:r>
          <m:t>=</m:t>
        </m:r>
        <m:sSub>
          <m:e>
            <m:r>
              <m:t>a</m:t>
            </m:r>
          </m:e>
          <m:sub>
            <m:r>
              <m:t>x</m:t>
            </m:r>
          </m:sub>
        </m:sSub>
        <m:r>
          <m:t>⋅</m:t>
        </m:r>
        <m:r>
          <m:t>r</m:t>
        </m:r>
        <m:r>
          <m:t>(</m:t>
        </m:r>
        <m:r>
          <m:t>t</m:t>
        </m:r>
        <m:r>
          <m:t>)</m:t>
        </m:r>
      </m:oMath>
      <w:r>
        <w:t xml:space="preserve"> </w:t>
      </w:r>
      <w:r>
        <w:t xml:space="preserve">を計算</w:t>
      </w:r>
    </w:p>
    <w:p>
      <w:pPr>
        <w:numPr>
          <w:ilvl w:val="0"/>
          <w:numId w:val="1012"/>
        </w:numPr>
        <w:pStyle w:val="Compact"/>
      </w:pPr>
      <m:oMath>
        <m:r>
          <m:t>C</m:t>
        </m:r>
        <m:r>
          <m:t>R</m:t>
        </m:r>
        <m:r>
          <m:t>F</m:t>
        </m:r>
        <m:r>
          <m:t>(</m:t>
        </m:r>
        <m:sSub>
          <m:e>
            <m:r>
              <m:t>t</m:t>
            </m:r>
          </m:e>
          <m:sub>
            <m:r>
              <m:t>i</m:t>
            </m:r>
          </m:sub>
        </m:sSub>
        <m:r>
          <m:t>,</m:t>
        </m:r>
        <m:r>
          <m:t>D</m:t>
        </m:r>
        <m:r>
          <m:t>O</m:t>
        </m:r>
        <m:r>
          <m:t>)</m:t>
        </m:r>
        <m:r>
          <m:t>=</m:t>
        </m:r>
        <m:nary>
          <m:naryPr>
            <m:chr m:val="∫"/>
            <m:limLoc m:val="subSup"/>
            <m:subHide m:val="0"/>
            <m:supHide m:val="0"/>
          </m:naryPr>
          <m:sub>
            <m:r>
              <m:t>0</m:t>
            </m:r>
          </m:sub>
          <m:sup>
            <m:r>
              <m:t>D</m:t>
            </m:r>
            <m:r>
              <m:t>O</m:t>
            </m:r>
            <m:r>
              <m:t>−</m:t>
            </m:r>
            <m:sSub>
              <m:e>
                <m:r>
                  <m:t>t</m:t>
                </m:r>
              </m:e>
              <m:sub>
                <m:r>
                  <m:t>i</m:t>
                </m:r>
              </m:sub>
            </m:sSub>
          </m:sup>
          <m:e>
            <m:sSub>
              <m:e>
                <m:r>
                  <m:t>a</m:t>
                </m:r>
              </m:e>
              <m:sub>
                <m:r>
                  <m:t>x</m:t>
                </m:r>
              </m:sub>
            </m:sSub>
          </m:e>
        </m:nary>
        <m:r>
          <m:t>⋅</m:t>
        </m:r>
        <m:r>
          <m:t>r</m:t>
        </m:r>
        <m:r>
          <m:t>(</m:t>
        </m:r>
        <m:r>
          <m:t>t</m:t>
        </m:r>
        <m:r>
          <m:t>)</m:t>
        </m:r>
        <m:r>
          <m:t> </m:t>
        </m:r>
        <m:r>
          <m:t>d</m:t>
        </m:r>
        <m:r>
          <m:t>t</m:t>
        </m:r>
      </m:oMath>
      <w:r>
        <w:t xml:space="preserve"> </w:t>
      </w:r>
      <w:r>
        <w:t xml:space="preserve">を数値積分</w:t>
      </w:r>
    </w:p>
    <w:p>
      <w:pPr>
        <w:numPr>
          <w:ilvl w:val="0"/>
          <w:numId w:val="1012"/>
        </w:numPr>
        <w:pStyle w:val="Compact"/>
      </w:pPr>
      <m:oMath>
        <m:r>
          <m:t>C</m:t>
        </m:r>
        <m:r>
          <m:t>R</m:t>
        </m:r>
        <m:r>
          <m:t>F</m:t>
        </m:r>
        <m:r>
          <m:t>(</m:t>
        </m:r>
        <m:r>
          <m:t>0</m:t>
        </m:r>
        <m:r>
          <m:t>,</m:t>
        </m:r>
        <m:r>
          <m:t>D</m:t>
        </m:r>
        <m:r>
          <m:t>O</m:t>
        </m:r>
        <m:r>
          <m:t>)</m:t>
        </m:r>
        <m:r>
          <m:t>=</m:t>
        </m:r>
        <m:nary>
          <m:naryPr>
            <m:chr m:val="∫"/>
            <m:limLoc m:val="subSup"/>
            <m:subHide m:val="0"/>
            <m:supHide m:val="0"/>
          </m:naryPr>
          <m:sub>
            <m:r>
              <m:t>0</m:t>
            </m:r>
          </m:sub>
          <m:sup>
            <m:r>
              <m:t>D</m:t>
            </m:r>
            <m:r>
              <m:t>O</m:t>
            </m:r>
          </m:sup>
          <m:e>
            <m:sSub>
              <m:e>
                <m:r>
                  <m:t>a</m:t>
                </m:r>
              </m:e>
              <m:sub>
                <m:r>
                  <m:t>x</m:t>
                </m:r>
              </m:sub>
            </m:sSub>
          </m:e>
        </m:nary>
        <m:r>
          <m:t>⋅</m:t>
        </m:r>
        <m:r>
          <m:t>r</m:t>
        </m:r>
        <m:r>
          <m:t>(</m:t>
        </m:r>
        <m:r>
          <m:t>t</m:t>
        </m:r>
        <m:r>
          <m:t>)</m:t>
        </m:r>
        <m:r>
          <m:t> </m:t>
        </m:r>
        <m:r>
          <m:t>d</m:t>
        </m:r>
        <m:r>
          <m:t>t</m:t>
        </m:r>
      </m:oMath>
      <w:r>
        <w:t xml:space="preserve"> </w:t>
      </w:r>
      <w:r>
        <w:t xml:space="preserve">を計算（正規化分母）</w:t>
      </w:r>
    </w:p>
    <w:p>
      <w:pPr>
        <w:numPr>
          <w:ilvl w:val="0"/>
          <w:numId w:val="1012"/>
        </w:numPr>
        <w:pStyle w:val="Compact"/>
      </w:pPr>
      <m:oMath>
        <m:r>
          <m:t>D</m:t>
        </m:r>
        <m:r>
          <m:t>C</m:t>
        </m:r>
        <m:r>
          <m:t>F</m:t>
        </m:r>
        <m:r>
          <m:t>(</m:t>
        </m:r>
        <m:sSub>
          <m:e>
            <m:r>
              <m:t>t</m:t>
            </m:r>
          </m:e>
          <m:sub>
            <m:r>
              <m:t>i</m:t>
            </m:r>
          </m:sub>
        </m:sSub>
        <m:r>
          <m:t>,</m:t>
        </m:r>
        <m:r>
          <m:t>D</m:t>
        </m:r>
        <m:r>
          <m:t>O</m:t>
        </m:r>
        <m:r>
          <m:t>)</m:t>
        </m:r>
        <m:r>
          <m:t>=</m:t>
        </m:r>
        <m:r>
          <m:t>C</m:t>
        </m:r>
        <m:r>
          <m:t>R</m:t>
        </m:r>
        <m:r>
          <m:t>F</m:t>
        </m:r>
        <m:r>
          <m:t>(</m:t>
        </m:r>
        <m:sSub>
          <m:e>
            <m:r>
              <m:t>t</m:t>
            </m:r>
          </m:e>
          <m:sub>
            <m:r>
              <m:t>i</m:t>
            </m:r>
          </m:sub>
        </m:sSub>
        <m:r>
          <m:t>,</m:t>
        </m:r>
        <m:r>
          <m:t>D</m:t>
        </m:r>
        <m:r>
          <m:t>O</m:t>
        </m:r>
        <m:r>
          <m:t>)</m:t>
        </m:r>
        <m:r>
          <m:t>/</m:t>
        </m:r>
        <m:r>
          <m:t>C</m:t>
        </m:r>
        <m:r>
          <m:t>R</m:t>
        </m:r>
        <m:r>
          <m:t>F</m:t>
        </m:r>
        <m:r>
          <m:t>(</m:t>
        </m:r>
        <m:r>
          <m:t>0</m:t>
        </m:r>
        <m:r>
          <m:t>,</m:t>
        </m:r>
        <m:r>
          <m:t>D</m:t>
        </m:r>
        <m:r>
          <m:t>O</m:t>
        </m:r>
        <m:r>
          <m:t>)</m:t>
        </m:r>
      </m:oMath>
    </w:p>
    <w:p>
      <w:pPr>
        <w:pStyle w:val="FirstParagraph"/>
      </w:pPr>
      <m:oMath>
        <m:r>
          <m:t>D</m:t>
        </m:r>
        <m:r>
          <m:t>O</m:t>
        </m:r>
        <m:r>
          <m:t>=</m:t>
        </m:r>
        <m:r>
          <m:t>100</m:t>
        </m:r>
      </m:oMath>
      <w:r>
        <w:t xml:space="preserve"> </w:t>
      </w:r>
      <w:r>
        <w:t xml:space="preserve">年の場合、Bern2.5CCの数値積分で</w:t>
      </w:r>
      <w:r>
        <w:t xml:space="preserve"> </w:t>
      </w:r>
      <m:oMath>
        <m:nary>
          <m:naryPr>
            <m:chr m:val="∫"/>
            <m:limLoc m:val="subSup"/>
            <m:subHide m:val="0"/>
            <m:supHide m:val="0"/>
          </m:naryPr>
          <m:sub>
            <m:r>
              <m:t>0</m:t>
            </m:r>
          </m:sub>
          <m:sup>
            <m:r>
              <m:t>100</m:t>
            </m:r>
          </m:sup>
          <m:e>
            <m:r>
              <m:t>r</m:t>
            </m:r>
          </m:e>
        </m:nary>
        <m:r>
          <m:t>(</m:t>
        </m:r>
        <m:r>
          <m:t>t</m:t>
        </m:r>
        <m:r>
          <m:t>)</m:t>
        </m:r>
        <m:r>
          <m:t> </m:t>
        </m:r>
        <m:r>
          <m:t>d</m:t>
        </m:r>
        <m:r>
          <m:t>t</m:t>
        </m:r>
        <m:r>
          <m:t>≈</m:t>
        </m:r>
        <m:r>
          <m:t>48</m:t>
        </m:r>
      </m:oMath>
      <w:r>
        <w:t xml:space="preserve"> </w:t>
      </w:r>
      <w:r>
        <w:t xml:space="preserve">年となり、</w:t>
      </w:r>
      <m:oMath>
        <m:r>
          <m:t>C</m:t>
        </m:r>
        <m:r>
          <m:t>R</m:t>
        </m:r>
        <m:r>
          <m:t>F</m:t>
        </m:r>
        <m:r>
          <m:t>(</m:t>
        </m:r>
        <m:r>
          <m:t>0</m:t>
        </m:r>
        <m:r>
          <m:t>,</m:t>
        </m:r>
        <m:r>
          <m:t>100</m:t>
        </m:r>
        <m:r>
          <m:t>)</m:t>
        </m:r>
        <m:r>
          <m:t>=</m:t>
        </m:r>
        <m:sSub>
          <m:e>
            <m:r>
              <m:t>a</m:t>
            </m:r>
          </m:e>
          <m:sub>
            <m:r>
              <m:t>x</m:t>
            </m:r>
          </m:sub>
        </m:sSub>
        <m:r>
          <m:t>×</m:t>
        </m:r>
      </m:oMath>
      <w:r>
        <w:t xml:space="preserve"> </w:t>
      </w:r>
      <w:r>
        <w:t xml:space="preserve">約48年 である（旧版に記載していた「</w:t>
      </w:r>
      <m:oMath>
        <m:r>
          <m:t>C</m:t>
        </m:r>
        <m:r>
          <m:t>R</m:t>
        </m:r>
        <m:r>
          <m:t>F</m:t>
        </m:r>
        <m:r>
          <m:t>(</m:t>
        </m:r>
        <m:r>
          <m:t>0</m:t>
        </m:r>
        <m:r>
          <m:t>,</m:t>
        </m:r>
        <m:r>
          <m:t>100</m:t>
        </m:r>
        <m:r>
          <m:t>)</m:t>
        </m:r>
        <m:r>
          <m:t>≈</m:t>
        </m:r>
        <m:r>
          <m:t>0.0192</m:t>
        </m:r>
      </m:oMath>
      <w:r>
        <w:t xml:space="preserve">」は単位・桁の整合が取れず出典未確認のため削除した）。</w:t>
      </w:r>
    </w:p>
    <w:p>
      <w:pPr>
        <w:pStyle w:val="Heading3"/>
      </w:pPr>
      <w:bookmarkStart w:id="65" w:name="遅延排出評価の制度的意義"/>
      <w:r>
        <w:t xml:space="preserve">2.5 遅延排出評価の制度的意義</w:t>
      </w:r>
      <w:bookmarkEnd w:id="65"/>
    </w:p>
    <w:p>
      <w:pPr>
        <w:pStyle w:val="FirstParagraph"/>
      </w:pPr>
      <w:r>
        <w:t xml:space="preserve">遅延排出評価が建物LCAにとって特に重要なのは、以下の非対称性が存在するためである：</w:t>
      </w:r>
    </w:p>
    <w:p>
      <w:pPr>
        <w:numPr>
          <w:ilvl w:val="0"/>
          <w:numId w:val="1013"/>
        </w:numPr>
        <w:pStyle w:val="Compact"/>
      </w:pPr>
      <w:r>
        <w:rPr>
          <w:b/>
        </w:rPr>
        <w:t xml:space="preserve">木材のバイオジェニック炭素固定（A1-A3）:</w:t>
      </w:r>
      <w:r>
        <w:t xml:space="preserve"> </w:t>
      </w:r>
      <m:oMath>
        <m:r>
          <m:t>t</m:t>
        </m:r>
        <m:r>
          <m:t>=</m:t>
        </m:r>
        <m:r>
          <m:t>0</m:t>
        </m:r>
      </m:oMath>
      <w:r>
        <w:t xml:space="preserve"> </w:t>
      </w:r>
      <w:r>
        <w:t xml:space="preserve">で即時クレジット（</w:t>
      </w:r>
      <m:oMath>
        <m:r>
          <m:t>D</m:t>
        </m:r>
        <m:r>
          <m:t>C</m:t>
        </m:r>
        <m:r>
          <m:t>F</m:t>
        </m:r>
        <m:r>
          <m:t>=</m:t>
        </m:r>
        <m:r>
          <m:t>1.0</m:t>
        </m:r>
      </m:oMath>
      <w:r>
        <w:t xml:space="preserve">）</w:t>
      </w:r>
    </w:p>
    <w:p>
      <w:pPr>
        <w:numPr>
          <w:ilvl w:val="0"/>
          <w:numId w:val="1013"/>
        </w:numPr>
        <w:pStyle w:val="Compact"/>
      </w:pPr>
      <w:r>
        <w:rPr>
          <w:b/>
        </w:rPr>
        <w:t xml:space="preserve">木材の解体焼却時炭素放出（C4）:</w:t>
      </w:r>
      <w:r>
        <w:t xml:space="preserve"> </w:t>
      </w:r>
      <m:oMath>
        <m:r>
          <m:t>t</m:t>
        </m:r>
        <m:r>
          <m:t>≈</m:t>
        </m:r>
        <m:r>
          <m:t>50</m:t>
        </m:r>
      </m:oMath>
      <w:r>
        <w:t xml:space="preserve"> </w:t>
      </w:r>
      <w:r>
        <w:t xml:space="preserve">年後に割引計上（</w:t>
      </w:r>
      <m:oMath>
        <m:r>
          <m:t>D</m:t>
        </m:r>
        <m:r>
          <m:t>C</m:t>
        </m:r>
        <m:r>
          <m:t>F</m:t>
        </m:r>
        <m:r>
          <m:t>≈</m:t>
        </m:r>
        <m:r>
          <m:t>0.58</m:t>
        </m:r>
      </m:oMath>
      <w:r>
        <w:t xml:space="preserve">）</w:t>
      </w:r>
    </w:p>
    <w:p>
      <w:pPr>
        <w:pStyle w:val="FirstParagraph"/>
      </w:pPr>
      <w:r>
        <w:t xml:space="preserve">この</w:t>
      </w:r>
      <w:r>
        <w:rPr>
          <w:b/>
        </w:rPr>
        <w:t xml:space="preserve">DCF非対称性</w:t>
      </w:r>
      <w:r>
        <w:t xml:space="preserve">が、木材の「今は固定し、数十年後に放出する」という物理的特性を「現在価値ベースの気候クレジット」として制度化する根拠となっている。</w:t>
      </w:r>
    </w:p>
    <w:p>
      <w:pPr>
        <w:pStyle w:val="BodyText"/>
      </w:pPr>
      <w:r>
        <w:rPr>
          <w:b/>
        </w:rPr>
        <w:t xml:space="preserve">実務ツールでの実装:</w:t>
      </w:r>
      <w:r>
        <w:t xml:space="preserve"> </w:t>
      </w:r>
      <w:r>
        <w:t xml:space="preserve">設計者はElodie（CSTB提供）上で建材ごとの</w:t>
      </w:r>
      <w:r>
        <w:t xml:space="preserve"> </w:t>
      </w:r>
      <m:oMath>
        <m:sSub>
          <m:e>
            <m:r>
              <m:t>t</m:t>
            </m:r>
          </m:e>
          <m:sub>
            <m:r>
              <m:t>i</m:t>
            </m:r>
          </m:sub>
        </m:sSub>
      </m:oMath>
      <w:r>
        <w:t xml:space="preserve">（設計耐用年数）を入力すると、INIESデータベースのFDESに記載された生物由来炭素量と上記係数が自動的に結合され、動的重み付けが Ic construction の計算に適用される（StockC〔貯蔵量指標〕も同時に算出される）。計算は自動化されており、データ整備次第で大半の設計事務所が対応可能と言われる（Cerema, 2024, §5.1）。</w:t>
      </w:r>
    </w:p>
    <w:p>
      <w:r>
        <w:pict>
          <v:rect style="width:0;height:1.5pt" o:hralign="center" o:hrstd="t" o:hr="t"/>
        </w:pict>
      </w:r>
    </w:p>
    <w:p>
      <w:pPr>
        <w:pStyle w:val="Heading2"/>
      </w:pPr>
      <w:bookmarkStart w:id="66" w:name="各種パラメータ内容no.11"/>
      <w:r>
        <w:t xml:space="preserve">3. 各種パラメータ内容（No.11）</w:t>
      </w:r>
      <w:bookmarkEnd w:id="66"/>
    </w:p>
    <w:p>
      <w:pPr>
        <w:pStyle w:val="BlockText"/>
      </w:pPr>
      <w:r>
        <w:rPr>
          <w:b/>
        </w:rPr>
        <w:t xml:space="preserve">本節で分かること:</w:t>
      </w:r>
      <w:r>
        <w:t xml:space="preserve"> </w:t>
      </w:r>
      <w:r>
        <w:t xml:space="preserve">RE2020が採用している動的LCA係数の数値とその設定根拠を一覧化する。</w:t>
      </w:r>
    </w:p>
    <w:p>
      <w:pPr>
        <w:pStyle w:val="Heading3"/>
      </w:pPr>
      <w:bookmarkStart w:id="67" w:name="re2020の動的重み係数時間の一次関数"/>
      <w:r>
        <w:t xml:space="preserve">3.1 RE2020の動的重み係数（時間の一次関数）</w:t>
      </w:r>
      <w:bookmarkEnd w:id="67"/>
    </w:p>
    <w:p>
      <w:pPr>
        <w:pStyle w:val="FirstParagraph"/>
      </w:pPr>
      <w:r>
        <w:t xml:space="preserve">RE2020が採用する重み係数は、</w:t>
      </w:r>
      <w:r>
        <w:rPr>
          <w:b/>
        </w:rPr>
        <w:t xml:space="preserve">排出年</w:t>
      </w:r>
      <w:r>
        <w:rPr>
          <w:b/>
        </w:rPr>
        <w:t xml:space="preserve"> </w:t>
      </w:r>
      <m:oMath>
        <m:r>
          <m:t>t</m:t>
        </m:r>
      </m:oMath>
      <w:r>
        <w:rPr>
          <w:b/>
        </w:rPr>
        <w:t xml:space="preserve"> </w:t>
      </w:r>
      <w:r>
        <w:rPr>
          <w:b/>
        </w:rPr>
        <w:t xml:space="preserve">に対する一次関数（アフィン関数）</w:t>
      </w:r>
      <w:r>
        <w:t xml:space="preserve">である。これは Arrêté du 4 août 2021 第11条（方法論Annexe §4.2.1.2.1）に規定され、Université Gustave Eiffel の技術ノートおよび Ventura (2022) が一次資料として次式を明示している：</w:t>
      </w:r>
    </w:p>
    <w:p>
      <w:pPr>
        <w:pStyle w:val="BodyText"/>
      </w:pPr>
      <m:oMathPara>
        <m:oMathParaPr>
          <m:jc m:val="center"/>
        </m:oMathParaPr>
        <m:oMath>
          <m:sSub>
            <m:e>
              <m:r>
                <m:rPr>
                  <m:nor/>
                  <m:sty m:val="p"/>
                </m:rPr>
                <m:t>coefficient</m:t>
              </m:r>
            </m:e>
            <m:sub>
              <m:r>
                <m:rPr>
                  <m:nor/>
                  <m:sty m:val="p"/>
                </m:rPr>
                <m:t>RE2020</m:t>
              </m:r>
            </m:sub>
          </m:sSub>
          <m:r>
            <m:t>(</m:t>
          </m:r>
          <m:r>
            <m:t>t</m:t>
          </m:r>
          <m:r>
            <m:t>)</m:t>
          </m:r>
          <m:r>
            <m:t>=</m:t>
          </m:r>
          <m:r>
            <m:t>1</m:t>
          </m:r>
          <m:r>
            <m:t>−</m:t>
          </m:r>
          <m:r>
            <m:t>0.00842</m:t>
          </m:r>
          <m:r>
            <m:t>⋅</m:t>
          </m:r>
          <m:r>
            <m:t>t</m:t>
          </m:r>
          <m:r>
            <m:t> </m:t>
          </m:r>
          <m:r>
            <m:t>(</m:t>
          </m:r>
          <m:r>
            <m:t>0</m:t>
          </m:r>
          <m:r>
            <m:t>≤</m:t>
          </m:r>
          <m:r>
            <m:t>t</m:t>
          </m:r>
          <m:r>
            <m:t>≤</m:t>
          </m:r>
          <m:r>
            <m:t>50</m:t>
          </m:r>
          <m:r>
            <m:rPr>
              <m:nor/>
              <m:sty m:val="p"/>
            </m:rPr>
            <m:t>年</m:t>
          </m:r>
          <m:r>
            <m:t>)</m:t>
          </m:r>
        </m:oMath>
      </m:oMathPara>
    </w:p>
    <w:p>
      <w:pPr>
        <w:pStyle w:val="FirstParagraph"/>
      </w:pPr>
      <m:oMathPara>
        <m:oMathParaPr>
          <m:jc m:val="center"/>
        </m:oMathParaPr>
        <m:oMath>
          <m:sSub>
            <m:e>
              <m:r>
                <m:rPr>
                  <m:nor/>
                  <m:sty m:val="p"/>
                </m:rPr>
                <m:t>coefficient</m:t>
              </m:r>
            </m:e>
            <m:sub>
              <m:r>
                <m:rPr>
                  <m:nor/>
                  <m:sty m:val="p"/>
                </m:rPr>
                <m:t>RE2020</m:t>
              </m:r>
            </m:sub>
          </m:sSub>
          <m:r>
            <m:t>(</m:t>
          </m:r>
          <m:r>
            <m:t>t</m:t>
          </m:r>
          <m:r>
            <m:t>)</m:t>
          </m:r>
          <m:r>
            <m:t>=</m:t>
          </m:r>
          <m:r>
            <m:t>1</m:t>
          </m:r>
          <m:r>
            <m:t>−</m:t>
          </m:r>
          <m:r>
            <m:t>0.00842</m:t>
          </m:r>
          <m:r>
            <m:t>×</m:t>
          </m:r>
          <m:r>
            <m:t>50</m:t>
          </m:r>
          <m:r>
            <m:t>=</m:t>
          </m:r>
          <m:r>
            <m:t>0.579</m:t>
          </m:r>
          <m:r>
            <m:t> </m:t>
          </m:r>
          <m:r>
            <m:t>(</m:t>
          </m:r>
          <m:r>
            <m:t>t</m:t>
          </m:r>
          <m:r>
            <m:t>&gt;</m:t>
          </m:r>
          <m:r>
            <m:t>50</m:t>
          </m:r>
          <m:r>
            <m:rPr>
              <m:nor/>
              <m:sty m:val="p"/>
            </m:rPr>
            <m:t>年、下限固定</m:t>
          </m:r>
          <m:r>
            <m:t>)</m:t>
          </m:r>
        </m:oMath>
      </m:oMathPara>
    </w:p>
    <w:p>
      <w:pPr>
        <w:pStyle w:val="FirstParagraph"/>
      </w:pPr>
      <w:r>
        <w:t xml:space="preserve">公式の離散テーブル値は</w:t>
      </w:r>
      <w:r>
        <w:t xml:space="preserve"> </w:t>
      </w:r>
      <m:oMath>
        <m:r>
          <m:t>t</m:t>
        </m:r>
        <m:r>
          <m:t>=</m:t>
        </m:r>
        <m:r>
          <m:t>0</m:t>
        </m:r>
      </m:oMath>
      <w:r>
        <w:t xml:space="preserve"> </w:t>
      </w:r>
      <w:r>
        <w:t xml:space="preserve">で1.000、</w:t>
      </w:r>
      <m:oMath>
        <m:r>
          <m:t>t</m:t>
        </m:r>
        <m:r>
          <m:t>=</m:t>
        </m:r>
        <m:r>
          <m:t>1</m:t>
        </m:r>
      </m:oMath>
      <w:r>
        <w:t xml:space="preserve"> </w:t>
      </w:r>
      <w:r>
        <w:t xml:space="preserve">年で0.992、</w:t>
      </w:r>
      <m:oMath>
        <m:r>
          <m:t>t</m:t>
        </m:r>
        <m:r>
          <m:t>=</m:t>
        </m:r>
        <m:r>
          <m:t>50</m:t>
        </m:r>
      </m:oMath>
      <w:r>
        <w:t xml:space="preserve"> </w:t>
      </w:r>
      <w:r>
        <w:t xml:space="preserve">年で</w:t>
      </w:r>
      <w:r>
        <w:rPr>
          <w:b/>
        </w:rPr>
        <w:t xml:space="preserve">0.578</w:t>
      </w:r>
      <w:r>
        <w:t xml:space="preserve">（Cerema, 2022）であり、上式の計算値0.579と丸めの範囲で一致する。</w:t>
      </w:r>
    </w:p>
    <w:p>
      <w:pPr>
        <w:pStyle w:val="BlockText"/>
      </w:pPr>
      <w:r>
        <w:rPr>
          <w:b/>
        </w:rPr>
        <w:t xml:space="preserve">「線形近似」という表現の正確な意味:</w:t>
      </w:r>
      <w:r>
        <w:t xml:space="preserve"> </w:t>
      </w:r>
      <w:r>
        <w:t xml:space="preserve">RE2020の手法は「ACV dynamique</w:t>
      </w:r>
      <w:r>
        <w:t xml:space="preserve"> </w:t>
      </w:r>
      <w:r>
        <w:rPr>
          <w:b/>
        </w:rPr>
        <w:t xml:space="preserve">simplifiée</w:t>
      </w:r>
      <w:r>
        <w:t xml:space="preserve">（簡易動的LCA）」と公式に呼ばれる。</w:t>
      </w:r>
      <w:r>
        <w:t xml:space="preserve">“</w:t>
      </w:r>
      <w:r>
        <w:t xml:space="preserve">線形（近似）</w:t>
      </w:r>
      <w:r>
        <w:t xml:space="preserve">”</w:t>
      </w:r>
      <w:r>
        <w:t xml:space="preserve"> </w:t>
      </w:r>
      <w:r>
        <w:t xml:space="preserve">は二重の意味で正しい。①重み係数そのものが時間</w:t>
      </w:r>
      <w:r>
        <w:t xml:space="preserve"> </w:t>
      </w:r>
      <m:oMath>
        <m:r>
          <m:t>t</m:t>
        </m:r>
      </m:oMath>
      <w:r>
        <w:t xml:space="preserve"> </w:t>
      </w:r>
      <w:r>
        <w:t xml:space="preserve">の一次関数（直線）である。②この係数は、Benoist (2009) 博士論文（表IV.7・168頁）の動的特性化値を</w:t>
      </w:r>
      <w:r>
        <w:t xml:space="preserve"> </w:t>
      </w:r>
      <w:r>
        <w:rPr>
          <w:b/>
        </w:rPr>
        <w:t xml:space="preserve">線形回帰（régression linéaire）</w:t>
      </w:r>
      <w:r>
        <w:t xml:space="preserve"> </w:t>
      </w:r>
      <w:r>
        <w:t xml:space="preserve">で近似して得られた傾き −0.00842/年に基づき、観測期間DO=100年で厳密な動的指標と一致するよう較正（calé）されている。したがって「動的LCAなのに線形」は矛盾ではない——</w:t>
      </w:r>
      <w:r>
        <w:t xml:space="preserve">“</w:t>
      </w:r>
      <w:r>
        <w:t xml:space="preserve">動的</w:t>
      </w:r>
      <w:r>
        <w:t xml:space="preserve">”</w:t>
      </w:r>
      <w:r>
        <w:t xml:space="preserve"> </w:t>
      </w:r>
      <w:r>
        <w:t xml:space="preserve">は「排出年を考慮する」こと、</w:t>
      </w:r>
      <w:r>
        <w:t xml:space="preserve">“</w:t>
      </w:r>
      <w:r>
        <w:t xml:space="preserve">線形</w:t>
      </w:r>
      <w:r>
        <w:t xml:space="preserve">”</w:t>
      </w:r>
      <w:r>
        <w:t xml:space="preserve"> </w:t>
      </w:r>
      <w:r>
        <w:t xml:space="preserve">は「その重み係数が時間の一次関数」であることを指す。</w:t>
      </w:r>
    </w:p>
    <w:p>
      <w:pPr>
        <w:pStyle w:val="FirstParagraph"/>
      </w:pPr>
      <w:r>
        <w:rPr>
          <w:b/>
        </w:rPr>
        <w:t xml:space="preserve">導出と確定の経緯（一次資料で確定）:</w:t>
      </w:r>
      <w:r>
        <w:t xml:space="preserve"> </w:t>
      </w:r>
      <w:r>
        <w:t xml:space="preserve">- 係数の数値的源流は Benoist (2009) の博士論文（表IV.7・168頁）の動的特性化値</w:t>
      </w:r>
      <w:r>
        <w:t xml:space="preserve"> </w:t>
      </w:r>
      <w:r>
        <w:t xml:space="preserve">- 傾き −0.00842/年は、RE2020公式サイト掲載のExcelファイルから線形回帰で推定された値（Univ Gustave Eiffel ノート）</w:t>
      </w:r>
      <w:r>
        <w:t xml:space="preserve"> </w:t>
      </w:r>
      <w:r>
        <w:t xml:space="preserve">- 簡易動的指標は、DO=100年で厳密な動的指標（可変DO版）と数値が一致するよう較正されている</w:t>
      </w:r>
      <w:r>
        <w:t xml:space="preserve"> </w:t>
      </w:r>
      <w:r>
        <w:t xml:space="preserve">- 実装上は Solinnen が開発した手法・オンラインツールに基づく（RE2020方法論資料21–22頁・DHUP情報。Univ Gustave Eiffel ノートが裏付け）</w:t>
      </w:r>
    </w:p>
    <w:p>
      <w:pPr>
        <w:pStyle w:val="BodyText"/>
      </w:pPr>
      <w:r>
        <w:rPr>
          <w:b/>
        </w:rPr>
        <w:t xml:space="preserve">下限値0.578（式上0.579）の設定根拠:</w:t>
      </w:r>
      <w:r>
        <w:t xml:space="preserve"> </w:t>
      </w:r>
      <w:r>
        <w:t xml:space="preserve">-</w:t>
      </w:r>
      <w:r>
        <w:t xml:space="preserve"> </w:t>
      </w:r>
      <m:oMath>
        <m:r>
          <m:t>t</m:t>
        </m:r>
        <m:r>
          <m:t>=</m:t>
        </m:r>
        <m:r>
          <m:t>50</m:t>
        </m:r>
      </m:oMath>
      <w:r>
        <w:t xml:space="preserve"> </w:t>
      </w:r>
      <w:r>
        <w:t xml:space="preserve">年での係数値を50年超にも固定適用</w:t>
      </w:r>
      <w:r>
        <w:t xml:space="preserve"> </w:t>
      </w:r>
      <w:r>
        <w:t xml:space="preserve">- 50年超の炭素フローは建物ライフサイクルで極めて稀（建設廃材の長期残存等を除く）</w:t>
      </w:r>
      <w:r>
        <w:t xml:space="preserve"> </w:t>
      </w:r>
      <w:r>
        <w:t xml:space="preserve">- 規制の透明性・予測可能性を高める実務的判断</w:t>
      </w:r>
    </w:p>
    <w:p>
      <w:pPr>
        <w:pStyle w:val="Heading3"/>
      </w:pPr>
      <w:bookmarkStart w:id="68" w:name="主要パラメータ一覧"/>
      <w:r>
        <w:t xml:space="preserve">3.2 主要パラメータ一覧</w:t>
      </w:r>
      <w:bookmarkEnd w:id="68"/>
    </w:p>
    <w:tbl>
      <w:tblPr>
        <w:tblStyle w:val="Table"/>
        <w:tblW w:type="pct" w:w="5000.0"/>
        <w:tblLook w:firstRow="1"/>
      </w:tblPr>
      <w:tblGrid>
        <w:gridCol w:w="2489"/>
        <w:gridCol w:w="2715"/>
        <w:gridCol w:w="1357"/>
        <w:gridCol w:w="1357"/>
      </w:tblGrid>
      <w:tr>
        <w:trPr>
          <w:cnfStyle w:firstRow="1"/>
        </w:trPr>
        <w:tc>
          <w:tcPr>
            <w:tcBorders>
              <w:bottom w:val="single"/>
            </w:tcBorders>
            <w:vAlign w:val="bottom"/>
          </w:tcPr>
          <w:p>
            <w:pPr>
              <w:pStyle w:val="Compact"/>
              <w:jc w:val="left"/>
            </w:pPr>
            <w:r>
              <w:t xml:space="preserve">パラメータ</w:t>
            </w:r>
          </w:p>
        </w:tc>
        <w:tc>
          <w:tcPr>
            <w:tcBorders>
              <w:bottom w:val="single"/>
            </w:tcBorders>
            <w:vAlign w:val="bottom"/>
          </w:tcPr>
          <w:p>
            <w:pPr>
              <w:pStyle w:val="Compact"/>
              <w:jc w:val="left"/>
            </w:pPr>
            <w:r>
              <w:t xml:space="preserve">RE2020採用値</w:t>
            </w:r>
          </w:p>
        </w:tc>
        <w:tc>
          <w:tcPr>
            <w:tcBorders>
              <w:bottom w:val="single"/>
            </w:tcBorders>
            <w:vAlign w:val="bottom"/>
          </w:tcPr>
          <w:p>
            <w:pPr>
              <w:pStyle w:val="Compact"/>
              <w:jc w:val="left"/>
            </w:pPr>
            <w:r>
              <w:t xml:space="preserve">出典</w:t>
            </w:r>
          </w:p>
        </w:tc>
        <w:tc>
          <w:tcPr>
            <w:tcBorders>
              <w:bottom w:val="single"/>
            </w:tcBorders>
            <w:vAlign w:val="bottom"/>
          </w:tcPr>
          <w:p>
            <w:pPr>
              <w:pStyle w:val="Compact"/>
              <w:jc w:val="left"/>
            </w:pPr>
            <w:r>
              <w:t xml:space="preserve">備考</w:t>
            </w:r>
          </w:p>
        </w:tc>
      </w:tr>
      <w:tr>
        <w:tc>
          <w:p>
            <w:pPr>
              <w:pStyle w:val="Compact"/>
              <w:jc w:val="left"/>
            </w:pPr>
            <w:r>
              <w:rPr>
                <w:b/>
              </w:rPr>
              <w:t xml:space="preserve">時間地平線 DO</w:t>
            </w:r>
          </w:p>
        </w:tc>
        <w:tc>
          <w:p>
            <w:pPr>
              <w:pStyle w:val="Compact"/>
              <w:jc w:val="left"/>
            </w:pPr>
            <w:r>
              <w:t xml:space="preserve">100年（固定）</w:t>
            </w:r>
          </w:p>
        </w:tc>
        <w:tc>
          <w:p>
            <w:pPr>
              <w:pStyle w:val="Compact"/>
              <w:jc w:val="left"/>
            </w:pPr>
            <w:r>
              <w:t xml:space="preserve">Arrêté 2021（方法論Annexe）/ Cerema (2022)</w:t>
            </w:r>
          </w:p>
        </w:tc>
        <w:tc>
          <w:p>
            <w:pPr>
              <w:pStyle w:val="Compact"/>
              <w:jc w:val="left"/>
            </w:pPr>
            <w:r>
              <w:t xml:space="preserve">建物の引渡し（</w:t>
            </w:r>
            <m:oMath>
              <m:r>
                <m:t>t</m:t>
              </m:r>
              <m:r>
                <m:t>=</m:t>
              </m:r>
              <m:r>
                <m:t>0</m:t>
              </m:r>
            </m:oMath>
            <w:r>
              <w:t xml:space="preserve">）から100年</w:t>
            </w:r>
          </w:p>
        </w:tc>
      </w:tr>
      <w:tr>
        <w:tc>
          <w:p>
            <w:pPr>
              <w:pStyle w:val="Compact"/>
              <w:jc w:val="left"/>
            </w:pPr>
            <w:r>
              <w:rPr>
                <w:b/>
              </w:rPr>
              <w:t xml:space="preserve">設計耐用年数（評価基準期間）</w:t>
            </w:r>
          </w:p>
        </w:tc>
        <w:tc>
          <w:p>
            <w:pPr>
              <w:pStyle w:val="Compact"/>
              <w:jc w:val="left"/>
            </w:pPr>
            <w:r>
              <w:t xml:space="preserve">50年（標準）</w:t>
            </w:r>
          </w:p>
        </w:tc>
        <w:tc>
          <w:p>
            <w:pPr>
              <w:pStyle w:val="Compact"/>
              <w:jc w:val="left"/>
            </w:pPr>
            <w:r>
              <w:t xml:space="preserve">EN 15978 / Cerema (2024)</w:t>
            </w:r>
          </w:p>
        </w:tc>
        <w:tc>
          <w:p>
            <w:pPr>
              <w:pStyle w:val="Compact"/>
              <w:jc w:val="left"/>
            </w:pPr>
            <w:r>
              <w:t xml:space="preserve">住宅・非住宅ともに50年が標準</w:t>
            </w:r>
          </w:p>
        </w:tc>
      </w:tr>
      <w:tr>
        <w:tc>
          <w:p>
            <w:pPr>
              <w:pStyle w:val="Compact"/>
              <w:jc w:val="left"/>
            </w:pPr>
            <w:r>
              <w:rPr>
                <w:b/>
              </w:rPr>
              <w:t xml:space="preserve">重み係数の傾き</w:t>
            </w:r>
          </w:p>
        </w:tc>
        <w:tc>
          <w:p>
            <w:pPr>
              <w:pStyle w:val="Compact"/>
              <w:jc w:val="left"/>
            </w:pPr>
            <w:r>
              <w:t xml:space="preserve">−0.00842/年</w:t>
            </w:r>
          </w:p>
        </w:tc>
        <w:tc>
          <w:p>
            <w:pPr>
              <w:pStyle w:val="Compact"/>
              <w:jc w:val="left"/>
            </w:pPr>
            <w:r>
              <w:t xml:space="preserve">Benoist (2009) 表IV.7／RE2020公式Excelの線形回帰（Univ Gustave Eiffel ノート）</w:t>
            </w:r>
          </w:p>
        </w:tc>
        <w:tc>
          <w:p>
            <w:pPr>
              <w:pStyle w:val="Compact"/>
              <w:jc w:val="left"/>
            </w:pPr>
            <w:r>
              <w:t xml:space="preserve">一次関数</w:t>
            </w:r>
            <w:r>
              <w:t xml:space="preserve"> </w:t>
            </w:r>
            <m:oMath>
              <m:r>
                <m:t>1</m:t>
              </m:r>
              <m:r>
                <m:t>−</m:t>
              </m:r>
              <m:r>
                <m:t>0.00842</m:t>
              </m:r>
              <m:r>
                <m:t>t</m:t>
              </m:r>
            </m:oMath>
          </w:p>
        </w:tc>
      </w:tr>
      <w:tr>
        <w:tc>
          <w:p>
            <w:pPr>
              <w:pStyle w:val="Compact"/>
              <w:jc w:val="left"/>
            </w:pPr>
            <w:r>
              <w:rPr>
                <w:b/>
              </w:rPr>
              <w:t xml:space="preserve">下限係数</w:t>
            </w:r>
          </w:p>
        </w:tc>
        <w:tc>
          <w:p>
            <w:pPr>
              <w:pStyle w:val="Compact"/>
              <w:jc w:val="left"/>
            </w:pPr>
            <w:r>
              <w:t xml:space="preserve">0.578（式上0.579・固定）</w:t>
            </w:r>
          </w:p>
        </w:tc>
        <w:tc>
          <w:p>
            <w:pPr>
              <w:pStyle w:val="Compact"/>
              <w:jc w:val="left"/>
            </w:pPr>
            <w:r>
              <w:t xml:space="preserve">Arrêté 2021 第11条 / Cerema (2022)</w:t>
            </w:r>
          </w:p>
        </w:tc>
        <w:tc>
          <w:p>
            <w:pPr>
              <w:pStyle w:val="Compact"/>
              <w:jc w:val="left"/>
            </w:pPr>
            <m:oMath>
              <m:r>
                <m:t>t</m:t>
              </m:r>
              <m:r>
                <m:t>&gt;</m:t>
              </m:r>
              <m:r>
                <m:t>50</m:t>
              </m:r>
            </m:oMath>
            <w:r>
              <w:t xml:space="preserve"> </w:t>
            </w:r>
            <w:r>
              <w:t xml:space="preserve">年に適用</w:t>
            </w:r>
          </w:p>
        </w:tc>
      </w:tr>
      <w:tr>
        <w:tc>
          <w:p>
            <w:pPr>
              <w:pStyle w:val="Compact"/>
              <w:jc w:val="left"/>
            </w:pPr>
            <w:r>
              <w:rPr>
                <w:b/>
              </w:rPr>
              <w:t xml:space="preserve">CO₂応答モデル</w:t>
            </w:r>
          </w:p>
        </w:tc>
        <w:tc>
          <w:p>
            <w:pPr>
              <w:pStyle w:val="Compact"/>
              <w:jc w:val="left"/>
            </w:pPr>
            <w:r>
              <w:t xml:space="preserve">IPCC AR4 Bern2.5CC</w:t>
            </w:r>
          </w:p>
        </w:tc>
        <w:tc>
          <w:p>
            <w:pPr>
              <w:pStyle w:val="Compact"/>
              <w:jc w:val="left"/>
            </w:pPr>
            <w:r>
              <w:t xml:space="preserve">IPCC (2007)</w:t>
            </w:r>
          </w:p>
        </w:tc>
        <w:tc>
          <w:p>
            <w:pPr>
              <w:pStyle w:val="Compact"/>
              <w:jc w:val="left"/>
            </w:pPr>
            <w:r>
              <w:t xml:space="preserve">4指数関数近似</w:t>
            </w:r>
          </w:p>
        </w:tc>
      </w:tr>
      <w:tr>
        <w:tc>
          <w:p>
            <w:pPr>
              <w:pStyle w:val="Compact"/>
              <w:jc w:val="left"/>
            </w:pPr>
            <m:oMath>
              <m:sSub>
                <m:e>
                  <m:r>
                    <m:t>c</m:t>
                  </m:r>
                </m:e>
                <m:sub>
                  <m:r>
                    <m:t>0</m:t>
                  </m:r>
                </m:sub>
              </m:sSub>
            </m:oMath>
            <w:r>
              <w:rPr>
                <w:b/>
              </w:rPr>
              <w:t xml:space="preserve">（永続残存）</w:t>
            </w:r>
          </w:p>
        </w:tc>
        <w:tc>
          <w:p>
            <w:pPr>
              <w:pStyle w:val="Compact"/>
              <w:jc w:val="left"/>
            </w:pPr>
            <w:r>
              <w:t xml:space="preserve">0.217</w:t>
            </w:r>
          </w:p>
        </w:tc>
        <w:tc>
          <w:p>
            <w:pPr>
              <w:pStyle w:val="Compact"/>
              <w:jc w:val="left"/>
            </w:pPr>
            <w:r>
              <w:t xml:space="preserve">IPCC AR4</w:t>
            </w:r>
          </w:p>
        </w:tc>
        <w:tc>
          <w:p>
            <w:pPr>
              <w:pStyle w:val="Compact"/>
              <w:jc w:val="left"/>
            </w:pPr>
            <w:r>
              <w:t xml:space="preserve">長期大気残存成分</w:t>
            </w:r>
          </w:p>
        </w:tc>
      </w:tr>
      <w:tr>
        <w:tc>
          <w:p>
            <w:pPr>
              <w:pStyle w:val="Compact"/>
              <w:jc w:val="left"/>
            </w:pPr>
            <m:oMath>
              <m:sSub>
                <m:e>
                  <m:r>
                    <m:t>c</m:t>
                  </m:r>
                </m:e>
                <m:sub>
                  <m:r>
                    <m:t>1</m:t>
                  </m:r>
                </m:sub>
              </m:sSub>
            </m:oMath>
            <w:r>
              <w:rPr>
                <w:b/>
              </w:rPr>
              <w:t xml:space="preserve"> </w:t>
            </w:r>
            <w:r>
              <w:rPr>
                <w:b/>
              </w:rPr>
              <w:t xml:space="preserve">/</w:t>
            </w:r>
            <w:r>
              <w:rPr>
                <w:b/>
              </w:rPr>
              <w:t xml:space="preserve"> </w:t>
            </w:r>
            <m:oMath>
              <m:sSub>
                <m:e>
                  <m:r>
                    <m:t>τ</m:t>
                  </m:r>
                </m:e>
                <m:sub>
                  <m:r>
                    <m:t>1</m:t>
                  </m:r>
                </m:sub>
              </m:sSub>
            </m:oMath>
          </w:p>
        </w:tc>
        <w:tc>
          <w:p>
            <w:pPr>
              <w:pStyle w:val="Compact"/>
              <w:jc w:val="left"/>
            </w:pPr>
            <w:r>
              <w:t xml:space="preserve">0.259 / 172.9年</w:t>
            </w:r>
          </w:p>
        </w:tc>
        <w:tc>
          <w:p>
            <w:pPr>
              <w:pStyle w:val="Compact"/>
              <w:jc w:val="left"/>
            </w:pPr>
            <w:r>
              <w:t xml:space="preserve">IPCC AR4</w:t>
            </w:r>
          </w:p>
        </w:tc>
        <w:tc>
          <w:p>
            <w:pPr>
              <w:pStyle w:val="Compact"/>
              <w:jc w:val="left"/>
            </w:pPr>
            <w:r>
              <w:t xml:space="preserve">深層海洋吸収</w:t>
            </w:r>
          </w:p>
        </w:tc>
      </w:tr>
      <w:tr>
        <w:tc>
          <w:p>
            <w:pPr>
              <w:pStyle w:val="Compact"/>
              <w:jc w:val="left"/>
            </w:pPr>
            <m:oMath>
              <m:sSub>
                <m:e>
                  <m:r>
                    <m:t>c</m:t>
                  </m:r>
                </m:e>
                <m:sub>
                  <m:r>
                    <m:t>2</m:t>
                  </m:r>
                </m:sub>
              </m:sSub>
            </m:oMath>
            <w:r>
              <w:rPr>
                <w:b/>
              </w:rPr>
              <w:t xml:space="preserve"> </w:t>
            </w:r>
            <w:r>
              <w:rPr>
                <w:b/>
              </w:rPr>
              <w:t xml:space="preserve">/</w:t>
            </w:r>
            <w:r>
              <w:rPr>
                <w:b/>
              </w:rPr>
              <w:t xml:space="preserve"> </w:t>
            </w:r>
            <m:oMath>
              <m:sSub>
                <m:e>
                  <m:r>
                    <m:t>τ</m:t>
                  </m:r>
                </m:e>
                <m:sub>
                  <m:r>
                    <m:t>2</m:t>
                  </m:r>
                </m:sub>
              </m:sSub>
            </m:oMath>
          </w:p>
        </w:tc>
        <w:tc>
          <w:p>
            <w:pPr>
              <w:pStyle w:val="Compact"/>
              <w:jc w:val="left"/>
            </w:pPr>
            <w:r>
              <w:t xml:space="preserve">0.338 / 18.51年</w:t>
            </w:r>
          </w:p>
        </w:tc>
        <w:tc>
          <w:p>
            <w:pPr>
              <w:pStyle w:val="Compact"/>
              <w:jc w:val="left"/>
            </w:pPr>
            <w:r>
              <w:t xml:space="preserve">IPCC AR4</w:t>
            </w:r>
          </w:p>
        </w:tc>
        <w:tc>
          <w:p>
            <w:pPr>
              <w:pStyle w:val="Compact"/>
              <w:jc w:val="left"/>
            </w:pPr>
            <w:r>
              <w:t xml:space="preserve">海洋上中層吸収</w:t>
            </w:r>
          </w:p>
        </w:tc>
      </w:tr>
      <w:tr>
        <w:tc>
          <w:p>
            <w:pPr>
              <w:pStyle w:val="Compact"/>
              <w:jc w:val="left"/>
            </w:pPr>
            <m:oMath>
              <m:sSub>
                <m:e>
                  <m:r>
                    <m:t>c</m:t>
                  </m:r>
                </m:e>
                <m:sub>
                  <m:r>
                    <m:t>3</m:t>
                  </m:r>
                </m:sub>
              </m:sSub>
            </m:oMath>
            <w:r>
              <w:rPr>
                <w:b/>
              </w:rPr>
              <w:t xml:space="preserve"> </w:t>
            </w:r>
            <w:r>
              <w:rPr>
                <w:b/>
              </w:rPr>
              <w:t xml:space="preserve">/</w:t>
            </w:r>
            <w:r>
              <w:rPr>
                <w:b/>
              </w:rPr>
              <w:t xml:space="preserve"> </w:t>
            </w:r>
            <m:oMath>
              <m:sSub>
                <m:e>
                  <m:r>
                    <m:t>τ</m:t>
                  </m:r>
                </m:e>
                <m:sub>
                  <m:r>
                    <m:t>3</m:t>
                  </m:r>
                </m:sub>
              </m:sSub>
            </m:oMath>
          </w:p>
        </w:tc>
        <w:tc>
          <w:p>
            <w:pPr>
              <w:pStyle w:val="Compact"/>
              <w:jc w:val="left"/>
            </w:pPr>
            <w:r>
              <w:t xml:space="preserve">0.186 / 1.186年</w:t>
            </w:r>
          </w:p>
        </w:tc>
        <w:tc>
          <w:p>
            <w:pPr>
              <w:pStyle w:val="Compact"/>
              <w:jc w:val="left"/>
            </w:pPr>
            <w:r>
              <w:t xml:space="preserve">IPCC AR4</w:t>
            </w:r>
          </w:p>
        </w:tc>
        <w:tc>
          <w:p>
            <w:pPr>
              <w:pStyle w:val="Compact"/>
              <w:jc w:val="left"/>
            </w:pPr>
            <w:r>
              <w:t xml:space="preserve">生物圏・土壌吸収</w:t>
            </w:r>
          </w:p>
        </w:tc>
      </w:tr>
      <w:tr>
        <w:tc>
          <w:p>
            <w:pPr>
              <w:pStyle w:val="Compact"/>
              <w:jc w:val="left"/>
            </w:pPr>
            <w:r>
              <w:rPr>
                <w:b/>
              </w:rPr>
              <w:t xml:space="preserve">放射強制力係数</w:t>
            </w:r>
            <w:r>
              <w:rPr>
                <w:b/>
              </w:rPr>
              <w:t xml:space="preserve"> </w:t>
            </w:r>
            <m:oMath>
              <m:sSub>
                <m:e>
                  <m:r>
                    <m:t>a</m:t>
                  </m:r>
                </m:e>
                <m:sub>
                  <m:r>
                    <m:t>x</m:t>
                  </m:r>
                </m:sub>
              </m:sSub>
            </m:oMath>
          </w:p>
        </w:tc>
        <w:tc>
          <w:p>
            <w:pPr>
              <w:pStyle w:val="Compact"/>
              <w:jc w:val="left"/>
            </w:pPr>
            <w:r>
              <w:t xml:space="preserve">約</w:t>
            </w:r>
            <w:r>
              <w:t xml:space="preserve"> </w:t>
            </w:r>
            <m:oMath>
              <m:r>
                <m:t>1.7</m:t>
              </m:r>
              <m:r>
                <m:t>×</m:t>
              </m:r>
              <m:sSup>
                <m:e>
                  <m:r>
                    <m:t>10</m:t>
                  </m:r>
                </m:e>
                <m:sup>
                  <m:r>
                    <m:t>−</m:t>
                  </m:r>
                  <m:r>
                    <m:t>15</m:t>
                  </m:r>
                </m:sup>
              </m:sSup>
            </m:oMath>
            <w:r>
              <w:t xml:space="preserve"> </w:t>
            </w:r>
            <w:r>
              <w:t xml:space="preserve">W·m⁻²·(kgCO₂)⁻¹ のオーダー（要原典確認）</w:t>
            </w:r>
          </w:p>
        </w:tc>
        <w:tc>
          <w:p>
            <w:pPr>
              <w:pStyle w:val="Compact"/>
              <w:jc w:val="left"/>
            </w:pPr>
            <w:r>
              <w:t xml:space="preserve">IPCC AR4系文献</w:t>
            </w:r>
          </w:p>
        </w:tc>
        <w:tc>
          <w:p>
            <w:pPr>
              <w:pStyle w:val="Compact"/>
              <w:jc w:val="left"/>
            </w:pPr>
            <w:r>
              <w:t xml:space="preserve">DCFは比のため結果に影響しない</w:t>
            </w:r>
          </w:p>
        </w:tc>
      </w:tr>
      <w:tr>
        <w:tc>
          <w:p>
            <w:pPr>
              <w:pStyle w:val="Compact"/>
              <w:jc w:val="left"/>
            </w:pPr>
            <m:oMath>
              <m:nary>
                <m:naryPr>
                  <m:chr m:val="∫"/>
                  <m:limLoc m:val="subSup"/>
                  <m:subHide m:val="0"/>
                  <m:supHide m:val="0"/>
                </m:naryPr>
                <m:sub>
                  <m:r>
                    <m:t>0</m:t>
                  </m:r>
                </m:sub>
                <m:sup>
                  <m:r>
                    <m:t>100</m:t>
                  </m:r>
                </m:sup>
                <m:e>
                  <m:r>
                    <m:t>r</m:t>
                  </m:r>
                </m:e>
              </m:nary>
              <m:r>
                <m:t>(</m:t>
              </m:r>
              <m:r>
                <m:t>t</m:t>
              </m:r>
              <m:r>
                <m:t>)</m:t>
              </m:r>
              <m:r>
                <m:t> </m:t>
              </m:r>
              <m:r>
                <m:t>d</m:t>
              </m:r>
              <m:r>
                <m:t>t</m:t>
              </m:r>
            </m:oMath>
          </w:p>
        </w:tc>
        <w:tc>
          <w:p>
            <w:pPr>
              <w:pStyle w:val="Compact"/>
              <w:jc w:val="left"/>
            </w:pPr>
            <w:r>
              <w:t xml:space="preserve">≈ 48 年</w:t>
            </w:r>
          </w:p>
        </w:tc>
        <w:tc>
          <w:p>
            <w:pPr>
              <w:pStyle w:val="Compact"/>
              <w:jc w:val="left"/>
            </w:pPr>
            <w:r>
              <w:t xml:space="preserve">Bern2.5CC数値積分（本調査で再計算）</w:t>
            </w:r>
          </w:p>
        </w:tc>
        <w:tc>
          <w:p>
            <w:pPr>
              <w:pStyle w:val="Compact"/>
              <w:jc w:val="left"/>
            </w:pPr>
            <m:oMath>
              <m:r>
                <m:t>C</m:t>
              </m:r>
              <m:r>
                <m:t>R</m:t>
              </m:r>
              <m:r>
                <m:t>F</m:t>
              </m:r>
              <m:r>
                <m:t>(</m:t>
              </m:r>
              <m:r>
                <m:t>0</m:t>
              </m:r>
              <m:r>
                <m:t>,</m:t>
              </m:r>
              <m:r>
                <m:t>100</m:t>
              </m:r>
              <m:r>
                <m:t>)</m:t>
              </m:r>
              <m:r>
                <m:t>=</m:t>
              </m:r>
              <m:sSub>
                <m:e>
                  <m:r>
                    <m:t>a</m:t>
                  </m:r>
                </m:e>
                <m:sub>
                  <m:r>
                    <m:t>x</m:t>
                  </m:r>
                </m:sub>
              </m:sSub>
              <m:r>
                <m:t>×</m:t>
              </m:r>
            </m:oMath>
            <w:r>
              <w:t xml:space="preserve"> </w:t>
            </w:r>
            <w:r>
              <w:t xml:space="preserve">この値（正規化の分母）</w:t>
            </w:r>
          </w:p>
        </w:tc>
      </w:tr>
    </w:tbl>
    <w:p>
      <w:pPr>
        <w:pStyle w:val="Heading3"/>
      </w:pPr>
      <w:bookmarkStart w:id="69" w:name="批判的考察ventura-2022によるdo固定問題"/>
      <w:r>
        <w:t xml:space="preserve">3.3 批判的考察：Ventura (2022)によるDO固定問題</w:t>
      </w:r>
      <w:bookmarkEnd w:id="69"/>
    </w:p>
    <w:p>
      <w:pPr>
        <w:pStyle w:val="FirstParagraph"/>
      </w:pPr>
      <w:r>
        <w:t xml:space="preserve">RE2020の</w:t>
      </w:r>
      <w:r>
        <w:t xml:space="preserve"> </w:t>
      </w:r>
      <m:oMath>
        <m:r>
          <m:t>D</m:t>
        </m:r>
        <m:r>
          <m:t>O</m:t>
        </m:r>
        <m:r>
          <m:t>=</m:t>
        </m:r>
        <m:r>
          <m:t>100</m:t>
        </m:r>
      </m:oMath>
      <w:r>
        <w:t xml:space="preserve"> </w:t>
      </w:r>
      <w:r>
        <w:t xml:space="preserve">年固定は実務簡便性を優先した設計であるが、Ventura (2022) は以下の問題を指摘する：</w:t>
      </w:r>
    </w:p>
    <w:p>
      <w:pPr>
        <w:numPr>
          <w:ilvl w:val="0"/>
          <w:numId w:val="1014"/>
        </w:numPr>
        <w:pStyle w:val="Compact"/>
      </w:pPr>
      <w:r>
        <w:rPr>
          <w:b/>
        </w:rPr>
        <w:t xml:space="preserve">概念的問題:</w:t>
      </w:r>
      <w:r>
        <w:t xml:space="preserve"> </w:t>
      </w:r>
      <w:r>
        <w:t xml:space="preserve">固定された観測期間（TOD）の外側のフロー・影響が評価から脱落する。全フローの影響を同一の影響時間地平（THI）で評価するLCA原則に従い、</w:t>
      </w:r>
      <m:oMath>
        <m:r>
          <m:rPr>
            <m:nor/>
            <m:sty m:val="p"/>
          </m:rPr>
          <m:t>TOD</m:t>
        </m:r>
        <m:r>
          <m:t>=</m:t>
        </m:r>
        <m:r>
          <m:rPr>
            <m:nor/>
            <m:sty m:val="p"/>
          </m:rPr>
          <m:t>LCD</m:t>
        </m:r>
      </m:oMath>
      <w:r>
        <w:t xml:space="preserve">（ライフサイクル期間）</w:t>
      </w:r>
      <m:oMath>
        <m:r>
          <m:t>+</m:t>
        </m:r>
        <m:r>
          <m:rPr>
            <m:nor/>
            <m:sty m:val="p"/>
          </m:rPr>
          <m:t>THI</m:t>
        </m:r>
      </m:oMath>
      <w:r>
        <w:t xml:space="preserve"> </w:t>
      </w:r>
      <w:r>
        <w:t xml:space="preserve">とすべき</w:t>
      </w:r>
    </w:p>
    <w:p>
      <w:pPr>
        <w:numPr>
          <w:ilvl w:val="0"/>
          <w:numId w:val="1014"/>
        </w:numPr>
        <w:pStyle w:val="Compact"/>
      </w:pPr>
      <w:r>
        <w:rPr>
          <w:b/>
        </w:rPr>
        <w:t xml:space="preserve">過大評価の定量:</w:t>
      </w:r>
      <w:r>
        <w:t xml:space="preserve"> </w:t>
      </w:r>
      <w:r>
        <w:t xml:space="preserve">現行の動的GWP指標は一時的炭素貯蔵の効果を</w:t>
      </w:r>
      <w:r>
        <w:t xml:space="preserve"> </w:t>
      </w:r>
      <m:oMath>
        <m:r>
          <m:t>t</m:t>
        </m:r>
        <m:r>
          <m:t>=</m:t>
        </m:r>
        <m:r>
          <m:t>50</m:t>
        </m:r>
      </m:oMath>
      <w:r>
        <w:t xml:space="preserve"> </w:t>
      </w:r>
      <w:r>
        <w:t xml:space="preserve">年時点で</w:t>
      </w:r>
      <w:r>
        <w:rPr>
          <w:b/>
        </w:rPr>
        <w:t xml:space="preserve">約25%過大評価</w:t>
      </w:r>
      <w:r>
        <w:t xml:space="preserve">する（原典記載値）</w:t>
      </w:r>
    </w:p>
    <w:p>
      <w:pPr>
        <w:numPr>
          <w:ilvl w:val="0"/>
          <w:numId w:val="1014"/>
        </w:numPr>
        <w:pStyle w:val="Compact"/>
      </w:pPr>
      <w:r>
        <w:t xml:space="preserve">50年超の排出に対する0.58固定はこの歪みをさらに拡大する（具体的な過大評価幅は原典照合中）</w:t>
      </w:r>
    </w:p>
    <w:p>
      <w:pPr>
        <w:pStyle w:val="FirstParagraph"/>
      </w:pPr>
      <w:r>
        <w:t xml:space="preserve">この批判は2028年フェーズ3での係数見直し議論の根拠となっている（Rivaton, 2025）。なお、非線形DCFを採用した動的LCAの国際規格は本報告書作成時点では存在せず、CEN/TC 350（EN 15978/EN 15804改訂）等での標準化議論が進行中である。</w:t>
      </w:r>
    </w:p>
    <w:p>
      <w:r>
        <w:pict>
          <v:rect style="width:0;height:1.5pt" o:hralign="center" o:hrstd="t" o:hr="t"/>
        </w:pict>
      </w:r>
    </w:p>
    <w:p>
      <w:pPr>
        <w:pStyle w:val="Heading2"/>
      </w:pPr>
      <w:bookmarkStart w:id="70" w:name="日本への示唆"/>
      <w:r>
        <w:t xml:space="preserve">4. 日本への示唆</w:t>
      </w:r>
      <w:bookmarkEnd w:id="70"/>
    </w:p>
    <w:p>
      <w:pPr>
        <w:pStyle w:val="Heading3"/>
      </w:pPr>
      <w:bookmarkStart w:id="71" w:name="no.9適用範囲からの示唆"/>
      <w:r>
        <w:t xml:space="preserve">4.1 No.9（適用範囲）からの示唆</w:t>
      </w:r>
      <w:bookmarkEnd w:id="71"/>
    </w:p>
    <w:p>
      <w:pPr>
        <w:pStyle w:val="FirstParagraph"/>
      </w:pPr>
      <w:r>
        <w:t xml:space="preserve">フランスは2022年の義務化に先立ち、2016〜2021年の</w:t>
      </w:r>
      <w:r>
        <w:rPr>
          <w:b/>
        </w:rPr>
        <w:t xml:space="preserve">E+C-実験プログラム</w:t>
      </w:r>
      <w:r>
        <w:t xml:space="preserve">で実証データを収集した（公開観測データベースに約830事業が登録）。日本での適用範囲設計にあたっても、</w:t>
      </w:r>
      <w:r>
        <w:rPr>
          <w:b/>
        </w:rPr>
        <w:t xml:space="preserve">段階的実証（パイロットプログラム）→データ収集→基準値設定→義務化</w:t>
      </w:r>
      <w:r>
        <w:t xml:space="preserve">という順序が不可欠である。</w:t>
      </w:r>
    </w:p>
    <w:p>
      <w:pPr>
        <w:pStyle w:val="Heading3"/>
      </w:pPr>
      <w:bookmarkStart w:id="72" w:name="no.10遅延排出根拠からの示唆"/>
      <w:r>
        <w:t xml:space="preserve">4.2 No.10（遅延排出根拠）からの示唆</w:t>
      </w:r>
      <w:bookmarkEnd w:id="72"/>
    </w:p>
    <w:p>
      <w:pPr>
        <w:pStyle w:val="FirstParagraph"/>
      </w:pPr>
      <w:r>
        <w:t xml:space="preserve">DCFの物理的基盤（Bern2.5CCモデル）は国際的に確立されており、日本が採用する場合も同じモデルを使用できる。ただし</w:t>
      </w:r>
      <w:r>
        <w:rPr>
          <w:b/>
        </w:rPr>
        <w:t xml:space="preserve">DO（時間地平線）の合意</w:t>
      </w:r>
      <w:r>
        <w:t xml:space="preserve">が政策的に最も重要な論点であり、100年・50年・150年のどれを採用するかで木材の評価が大きく変わる。</w:t>
      </w:r>
    </w:p>
    <w:p>
      <w:pPr>
        <w:pStyle w:val="Heading3"/>
      </w:pPr>
      <w:bookmarkStart w:id="73" w:name="no.11パラメータからの示唆"/>
      <w:r>
        <w:t xml:space="preserve">4.3 No.11（パラメータ）からの示唆</w:t>
      </w:r>
      <w:bookmarkEnd w:id="73"/>
    </w:p>
    <w:p>
      <w:pPr>
        <w:pStyle w:val="FirstParagraph"/>
      </w:pPr>
      <w:r>
        <w:t xml:space="preserve">RE2020の線形近似係数は実務的に十分な精度を持つが、より厳密な非線形DCF（可変時間地平）への移行が学術的に提案されており、2028年フェーズ3の係数見直しでも論点となる見込みである。日本がこれから制度設計するのであれば、</w:t>
      </w:r>
      <w:r>
        <w:rPr>
          <w:b/>
        </w:rPr>
        <w:t xml:space="preserve">最初から非線形DCFの採用可能性を検討</w:t>
      </w:r>
      <w:r>
        <w:t xml:space="preserve">することで物理的精度を確保できる。ただし対応する国際規格は未成立であり、CEN/TC 350等の標準化動向の注視が必要である。</w:t>
      </w:r>
    </w:p>
    <w:p>
      <w:r>
        <w:pict>
          <v:rect style="width:0;height:1.5pt" o:hralign="center" o:hrstd="t" o:hr="t"/>
        </w:pict>
      </w:r>
    </w:p>
    <w:p>
      <w:pPr>
        <w:pStyle w:val="Heading2"/>
      </w:pPr>
      <w:bookmarkStart w:id="74" w:name="参考文献-1"/>
      <w:r>
        <w:t xml:space="preserve">5. 参考文献</w:t>
      </w:r>
      <w:bookmarkEnd w:id="74"/>
    </w:p>
    <w:p>
      <w:pPr>
        <w:numPr>
          <w:ilvl w:val="0"/>
          <w:numId w:val="1015"/>
        </w:numPr>
        <w:pStyle w:val="Compact"/>
      </w:pPr>
      <w:r>
        <w:t xml:space="preserve">Benoist, A. (2009). Éléments d’adaptation de la méthodologie d’analyse de cycle de vie aux carburants végétaux : cas de la première génération. Thèse de doctorat, Mines ParisTech. [書誌確認済み。RE2020重み係数は本論文 表IV.7（168頁）に基づく（Univ Gustave Eiffel ノートが明示）]</w:t>
      </w:r>
    </w:p>
    <w:p>
      <w:pPr>
        <w:numPr>
          <w:ilvl w:val="0"/>
          <w:numId w:val="1015"/>
        </w:numPr>
        <w:pStyle w:val="Compact"/>
      </w:pPr>
      <w:r>
        <w:t xml:space="preserve">Université Gustave Eiffel.</w:t>
      </w:r>
      <w:r>
        <w:t xml:space="preserve"> </w:t>
      </w:r>
      <w:r>
        <w:rPr>
          <w:i/>
        </w:rPr>
        <w:t xml:space="preserve">Recommandations pour l’introduction de l’Analyse de Cycle de Vie dynamique dans la RE2020</w:t>
      </w:r>
      <w:r>
        <w:t xml:space="preserve">（公開技術ノート、A. Ventura）. [RE2020重み係数式</w:t>
      </w:r>
      <w:r>
        <w:t xml:space="preserve"> </w:t>
      </w:r>
      <m:oMath>
        <m:r>
          <m:t>1</m:t>
        </m:r>
        <m:r>
          <m:t>−</m:t>
        </m:r>
        <m:r>
          <m:t>0.00842</m:t>
        </m:r>
        <m:r>
          <m:t>t</m:t>
        </m:r>
      </m:oMath>
      <w:r>
        <w:t xml:space="preserve">・Benoist由来・Solinnen手法・t=50で0.72とすべき点を明示した一次資料]</w:t>
      </w:r>
    </w:p>
    <w:p>
      <w:pPr>
        <w:numPr>
          <w:ilvl w:val="0"/>
          <w:numId w:val="1015"/>
        </w:numPr>
        <w:pStyle w:val="Compact"/>
      </w:pPr>
      <w:r>
        <w:t xml:space="preserve">Cerema (2024).</w:t>
      </w:r>
      <w:r>
        <w:t xml:space="preserve"> </w:t>
      </w:r>
      <w:r>
        <w:rPr>
          <w:i/>
        </w:rPr>
        <w:t xml:space="preserve">Guide RE2020 — Version janvier 2024</w:t>
      </w:r>
      <w:r>
        <w:t xml:space="preserve">. Centre d’études et d’expertise sur les risques, l’environnement, la mobilité et l’aménagement. Paris.</w:t>
      </w:r>
    </w:p>
    <w:p>
      <w:pPr>
        <w:numPr>
          <w:ilvl w:val="0"/>
          <w:numId w:val="1015"/>
        </w:numPr>
        <w:pStyle w:val="Compact"/>
      </w:pPr>
      <w:r>
        <w:t xml:space="preserve">Décret n°2021-1004 du 29 juillet 2021. JORF du 30 juillet 2021.</w:t>
      </w:r>
    </w:p>
    <w:p>
      <w:pPr>
        <w:numPr>
          <w:ilvl w:val="0"/>
          <w:numId w:val="1015"/>
        </w:numPr>
        <w:pStyle w:val="Compact"/>
      </w:pPr>
      <w:r>
        <w:t xml:space="preserve">IPCC (2007).</w:t>
      </w:r>
      <w:r>
        <w:t xml:space="preserve"> </w:t>
      </w:r>
      <w:r>
        <w:rPr>
          <w:i/>
        </w:rPr>
        <w:t xml:space="preserve">Climate Change 2007: The Physical Science Basis</w:t>
      </w:r>
      <w:r>
        <w:t xml:space="preserve">. Contribution of Working Group I to the Fourth Assessment Report. Cambridge University Press.</w:t>
      </w:r>
    </w:p>
    <w:p>
      <w:pPr>
        <w:numPr>
          <w:ilvl w:val="0"/>
          <w:numId w:val="1015"/>
        </w:numPr>
        <w:pStyle w:val="Compact"/>
      </w:pPr>
      <w:r>
        <w:t xml:space="preserve">Levasseur, A., Lesage, P., Margni, M., Deschênes, L., &amp; Samson, R. (2010). Considering time in LCA: Dynamic LCA and its application to global warming impact assessments.</w:t>
      </w:r>
      <w:r>
        <w:t xml:space="preserve"> </w:t>
      </w:r>
      <w:r>
        <w:rPr>
          <w:i/>
        </w:rPr>
        <w:t xml:space="preserve">Environmental Science &amp; Technology</w:t>
      </w:r>
      <w:r>
        <w:t xml:space="preserve">, 44(8), 3169–3174.</w:t>
      </w:r>
    </w:p>
    <w:p>
      <w:pPr>
        <w:numPr>
          <w:ilvl w:val="0"/>
          <w:numId w:val="1015"/>
        </w:numPr>
        <w:pStyle w:val="Compact"/>
      </w:pPr>
      <w:r>
        <w:t xml:space="preserve">Rivaton, R. (2025).</w:t>
      </w:r>
      <w:r>
        <w:t xml:space="preserve"> </w:t>
      </w:r>
      <w:r>
        <w:rPr>
          <w:i/>
        </w:rPr>
        <w:t xml:space="preserve">Rapport d’évaluation de la RE2020</w:t>
      </w:r>
      <w:r>
        <w:t xml:space="preserve">（23提言）. 2025年7月10日提出. ecologie.gouv.fr掲載 [書誌確認済み]</w:t>
      </w:r>
    </w:p>
    <w:p>
      <w:pPr>
        <w:numPr>
          <w:ilvl w:val="0"/>
          <w:numId w:val="1015"/>
        </w:numPr>
        <w:pStyle w:val="Compact"/>
      </w:pPr>
      <w:r>
        <w:t xml:space="preserve">Solinnen (2018). Rapport sur les méthodes de calcul des impacts environnementaux — Coefficient dynamique du bilan carbone. Rapport technique pour la DHUP. Paris. [係数がSolinnen手法に基づくことはUniv Gustave Eiffel公開ノートで裏付け済み。正確な書誌・年は未確認]</w:t>
      </w:r>
    </w:p>
    <w:p>
      <w:pPr>
        <w:numPr>
          <w:ilvl w:val="0"/>
          <w:numId w:val="1015"/>
        </w:numPr>
        <w:pStyle w:val="Compact"/>
      </w:pPr>
      <w:r>
        <w:t xml:space="preserve">Cerema (2022). L’ACV dynamique dans la RE2020. [公式係数値（1→0.578）の出典として確認済み]</w:t>
      </w:r>
    </w:p>
    <w:p>
      <w:pPr>
        <w:numPr>
          <w:ilvl w:val="0"/>
          <w:numId w:val="1015"/>
        </w:numPr>
        <w:pStyle w:val="Compact"/>
      </w:pPr>
      <w:r>
        <w:t xml:space="preserve">Zetterberg, L., &amp; Chen, D. (2015). On the temperature effects from bioenergy — How important is the time aspect?</w:t>
      </w:r>
      <w:r>
        <w:t xml:space="preserve"> </w:t>
      </w:r>
      <w:r>
        <w:rPr>
          <w:i/>
        </w:rPr>
        <w:t xml:space="preserve">Environmental Science &amp; Policy</w:t>
      </w:r>
      <w:r>
        <w:t xml:space="preserve">, 51, 71–81. [バイオジェニック炭素の時間評価の中間的発展研究として引用]</w:t>
      </w:r>
    </w:p>
    <w:p>
      <w:pPr>
        <w:numPr>
          <w:ilvl w:val="0"/>
          <w:numId w:val="1015"/>
        </w:numPr>
        <w:pStyle w:val="Compact"/>
      </w:pPr>
      <w:r>
        <w:t xml:space="preserve">Ventura, A. (2022). Conceptual issue of the dynamic GWP indicator and solution.</w:t>
      </w:r>
      <w:r>
        <w:t xml:space="preserve"> </w:t>
      </w:r>
      <w:r>
        <w:rPr>
          <w:i/>
        </w:rPr>
        <w:t xml:space="preserve">The International Journal of Life Cycle Assessment</w:t>
      </w:r>
      <w:r>
        <w:t xml:space="preserve">, 28, 788–799. https://doi.org/10.1007/s11367-022-02028-x [書誌確認済み]</w:t>
      </w:r>
    </w:p>
    <w:p>
      <w:r>
        <w:pict>
          <v:rect style="width:0;height:1.5pt" o:hralign="center" o:hrstd="t" o:hr="t"/>
        </w:pict>
      </w:r>
    </w:p>
    <w:p>
      <w:pPr>
        <w:pStyle w:val="Heading2"/>
      </w:pPr>
      <w:bookmarkStart w:id="75" w:name="付録調査タスク対応表-1"/>
      <w:r>
        <w:t xml:space="preserve">付録：調査タスク対応表</w:t>
      </w:r>
      <w:bookmarkEnd w:id="75"/>
    </w:p>
    <w:tbl>
      <w:tblPr>
        <w:tblStyle w:val="Table"/>
        <w:tblW w:type="pct" w:w="0.0"/>
        <w:tblLook w:firstRow="1"/>
      </w:tblPr>
      <w:tblGrid/>
      <w:tr>
        <w:trPr>
          <w:cnfStyle w:firstRow="1"/>
        </w:trPr>
        <w:tc>
          <w:tcPr>
            <w:tcBorders>
              <w:bottom w:val="single"/>
            </w:tcBorders>
            <w:vAlign w:val="bottom"/>
          </w:tcPr>
          <w:p>
            <w:pPr>
              <w:pStyle w:val="Compact"/>
              <w:jc w:val="left"/>
            </w:pPr>
            <w:r>
              <w:t xml:space="preserve">タスク番号</w:t>
            </w:r>
          </w:p>
        </w:tc>
        <w:tc>
          <w:tcPr>
            <w:tcBorders>
              <w:bottom w:val="single"/>
            </w:tcBorders>
            <w:vAlign w:val="bottom"/>
          </w:tcPr>
          <w:p>
            <w:pPr>
              <w:pStyle w:val="Compact"/>
              <w:jc w:val="left"/>
            </w:pPr>
            <w:r>
              <w:t xml:space="preserve">本章該当節</w:t>
            </w:r>
          </w:p>
        </w:tc>
      </w:tr>
      <w:tr>
        <w:tc>
          <w:p>
            <w:pPr>
              <w:pStyle w:val="Compact"/>
              <w:jc w:val="left"/>
            </w:pPr>
            <w:r>
              <w:t xml:space="preserve">No.9（ア）対象建築物の種別と範囲</w:t>
            </w:r>
          </w:p>
        </w:tc>
        <w:tc>
          <w:p>
            <w:pPr>
              <w:pStyle w:val="Compact"/>
              <w:jc w:val="left"/>
            </w:pPr>
            <w:r>
              <w:t xml:space="preserve">§1</w:t>
            </w:r>
          </w:p>
        </w:tc>
      </w:tr>
      <w:tr>
        <w:tc>
          <w:p>
            <w:pPr>
              <w:pStyle w:val="Compact"/>
              <w:jc w:val="left"/>
            </w:pPr>
            <w:r>
              <w:t xml:space="preserve">No.10（イ）遅延排出の評価根拠</w:t>
            </w:r>
          </w:p>
        </w:tc>
        <w:tc>
          <w:p>
            <w:pPr>
              <w:pStyle w:val="Compact"/>
              <w:jc w:val="left"/>
            </w:pPr>
            <w:r>
              <w:t xml:space="preserve">§2</w:t>
            </w:r>
          </w:p>
        </w:tc>
      </w:tr>
      <w:tr>
        <w:tc>
          <w:p>
            <w:pPr>
              <w:pStyle w:val="Compact"/>
              <w:jc w:val="left"/>
            </w:pPr>
            <w:r>
              <w:t xml:space="preserve">No.11（ウ）各種パラメータ内容</w:t>
            </w:r>
          </w:p>
        </w:tc>
        <w:tc>
          <w:p>
            <w:pPr>
              <w:pStyle w:val="Compact"/>
              <w:jc w:val="left"/>
            </w:pPr>
            <w:r>
              <w:t xml:space="preserve">§3</w:t>
            </w:r>
          </w:p>
        </w:tc>
      </w:tr>
    </w:tbl>
    <w:p>
      <w:r>
        <w:pict>
          <v:rect style="width:0;height:1.5pt" o:hralign="center" o:hrstd="t" o:hr="t"/>
        </w:pict>
      </w:r>
    </w:p>
    <w:p>
      <w:pPr>
        <w:pStyle w:val="Heading1"/>
      </w:pPr>
      <w:bookmarkStart w:id="76" w:name="第3章-生物由来炭素及び炭素貯蔵評価の制度的位置付け"/>
      <w:r>
        <w:t xml:space="preserve">第3章 生物由来炭素及び炭素貯蔵評価の制度的位置付け</w:t>
      </w:r>
      <w:bookmarkEnd w:id="76"/>
    </w:p>
    <w:p>
      <w:pPr>
        <w:pStyle w:val="FirstParagraph"/>
      </w:pPr>
      <w:r>
        <w:rPr>
          <w:b/>
        </w:rPr>
        <w:t xml:space="preserve">調査項目 ③（タスク No.12・13・14）</w:t>
      </w:r>
      <w:r>
        <w:br/>
      </w:r>
      <w:r>
        <w:rPr>
          <w:b/>
        </w:rPr>
        <w:t xml:space="preserve">担当:</w:t>
      </w:r>
      <w:r>
        <w:t xml:space="preserve"> </w:t>
      </w:r>
      <w:r>
        <w:t xml:space="preserve">第1係（政策及び制度調査）</w:t>
      </w:r>
      <w:r>
        <w:br/>
      </w:r>
      <w:r>
        <w:rPr>
          <w:b/>
        </w:rPr>
        <w:t xml:space="preserve">版:</w:t>
      </w:r>
      <w:r>
        <w:t xml:space="preserve"> </w:t>
      </w:r>
      <w:r>
        <w:t xml:space="preserve">第3版 — 2026-06-11（PMOファクトチェック再評価反映: StockC指標と正味便益の用語整理・Ventura (2022) 書誌統一・数値留保の明示）</w:t>
      </w:r>
      <w:r>
        <w:br/>
      </w:r>
      <w:r>
        <w:rPr>
          <w:b/>
        </w:rPr>
        <w:t xml:space="preserve">対応 TASKS.md:</w:t>
      </w:r>
      <w:r>
        <w:t xml:space="preserve"> </w:t>
      </w:r>
      <w:r>
        <w:rPr>
          <w:rStyle w:val="VerbatimChar"/>
        </w:rPr>
        <w:t xml:space="preserve">blocks/01_政策及び制度調査/TASKS.md</w:t>
      </w:r>
      <w:r>
        <w:t xml:space="preserve"> </w:t>
      </w:r>
      <w:r>
        <w:t xml:space="preserve">§ ③</w:t>
      </w:r>
    </w:p>
    <w:p>
      <w:r>
        <w:pict>
          <v:rect style="width:0;height:1.5pt" o:hralign="center" o:hrstd="t" o:hr="t"/>
        </w:pict>
      </w:r>
    </w:p>
    <w:p>
      <w:pPr>
        <w:pStyle w:val="Heading2"/>
      </w:pPr>
      <w:bookmarkStart w:id="77" w:name="エグゼクティブサマリーkey-findings-2"/>
      <w:r>
        <w:t xml:space="preserve">エグゼクティブサマリー（Key Findings）</w:t>
      </w:r>
      <w:bookmarkEnd w:id="77"/>
    </w:p>
    <w:p>
      <w:pPr>
        <w:pStyle w:val="BlockText"/>
      </w:pPr>
      <w:r>
        <w:rPr>
          <w:b/>
        </w:rPr>
        <w:t xml:space="preserve">本章の論証起点（ch04 v3 §1 参照）:</w:t>
      </w:r>
      <w:r>
        <w:t xml:space="preserve"> </w:t>
      </w:r>
      <w:r>
        <w:t xml:space="preserve">EN 15804+A2 の −1/+1 アプローチは「吸収 t=0・排出 t=50年の物理的非対称性」を無視し、木材をコンクリートと同じ「正味ゼロ」と評価する。本章で詳述する動的補正（およびそれを補完する StockC 貯蔵量指標）はこの限界を克服する手段であり、RE2020 はそれを制度的に定式化した。</w:t>
      </w:r>
    </w:p>
    <w:p>
      <w:pPr>
        <w:numPr>
          <w:ilvl w:val="0"/>
          <w:numId w:val="1016"/>
        </w:numPr>
        <w:pStyle w:val="Compact"/>
      </w:pPr>
      <w:r>
        <w:rPr>
          <w:b/>
        </w:rPr>
        <w:t xml:space="preserve">貯蔵量算定（No.12）:</w:t>
      </w:r>
      <w:r>
        <w:t xml:space="preserve"> </w:t>
      </w:r>
      <w:r>
        <w:t xml:space="preserve">RE2020 は生物由来炭素を2つの仕組みで扱う。（a）</w:t>
      </w:r>
      <w:r>
        <w:rPr>
          <w:b/>
        </w:rPr>
        <w:t xml:space="preserve">規制上の StockC 指標</w:t>
      </w:r>
      <w:r>
        <w:t xml:space="preserve">は建物中の生物由来炭素</w:t>
      </w:r>
      <w:r>
        <w:rPr>
          <w:b/>
        </w:rPr>
        <w:t xml:space="preserve">貯蔵量そのもの</w:t>
      </w:r>
      <w:r>
        <w:t xml:space="preserve">を kg C/m² で開示する情報提供指標（持続可能管理された資源由来であることが計上条件）。（b）木材の</w:t>
      </w:r>
      <w:r>
        <w:rPr>
          <w:b/>
        </w:rPr>
        <w:t xml:space="preserve">正味の気候便益</w:t>
      </w:r>
      <w:r>
        <w:t xml:space="preserve">は、バイオジェニック炭素固定（A1-A3）を係数1.000で即時計上し、C段階の放出を</w:t>
      </w:r>
      <w:r>
        <w:t xml:space="preserve"> </w:t>
      </w:r>
      <m:oMath>
        <m:r>
          <m:t>D</m:t>
        </m:r>
        <m:r>
          <m:t>C</m:t>
        </m:r>
        <m:r>
          <m:t>F</m:t>
        </m:r>
        <m:r>
          <m:t>(</m:t>
        </m:r>
        <m:sSub>
          <m:e>
            <m:r>
              <m:t>t</m:t>
            </m:r>
          </m:e>
          <m:sub>
            <m:r>
              <m:rPr>
                <m:nor/>
                <m:sty m:val="p"/>
              </m:rPr>
              <m:t>EoL</m:t>
            </m:r>
          </m:sub>
        </m:sSub>
        <m:r>
          <m:t>)</m:t>
        </m:r>
      </m:oMath>
      <w:r>
        <w:t xml:space="preserve">（50年で0.578）で割引計上する</w:t>
      </w:r>
      <w:r>
        <w:rPr>
          <w:b/>
        </w:rPr>
        <w:t xml:space="preserve">DCF非対称性</w:t>
      </w:r>
      <w:r>
        <w:t xml:space="preserve">により、</w:t>
      </w:r>
      <w:r>
        <w:rPr>
          <w:b/>
        </w:rPr>
        <w:t xml:space="preserve">Ic construction の計算内部</w:t>
      </w:r>
      <w:r>
        <w:t xml:space="preserve">で発生する。</w:t>
      </w:r>
      <w:r>
        <w:rPr>
          <w:b/>
        </w:rPr>
        <w:t xml:space="preserve">この非対称性（吸収1.000、放出0.578）が木材の正味便益の物理的根拠である。</w:t>
      </w:r>
    </w:p>
    <w:p>
      <w:pPr>
        <w:numPr>
          <w:ilvl w:val="0"/>
          <w:numId w:val="1016"/>
        </w:numPr>
        <w:pStyle w:val="Compact"/>
      </w:pPr>
      <w:r>
        <w:rPr>
          <w:b/>
        </w:rPr>
        <w:t xml:space="preserve">評価期間（No.13）:</w:t>
      </w:r>
      <w:r>
        <w:t xml:space="preserve"> </w:t>
      </w:r>
      <m:oMath>
        <m:r>
          <m:t>D</m:t>
        </m:r>
        <m:r>
          <m:t>O</m:t>
        </m:r>
        <m:r>
          <m:t>=</m:t>
        </m:r>
        <m:r>
          <m:t>100</m:t>
        </m:r>
      </m:oMath>
      <w:r>
        <w:t xml:space="preserve"> </w:t>
      </w:r>
      <w:r>
        <w:t xml:space="preserve">年（建物引渡しから100年）は実務的理由で採用された設計である。Ventura (2022)はこの固定観測期間が一時的炭素貯蔵の効果を</w:t>
      </w:r>
      <w:r>
        <w:rPr>
          <w:b/>
        </w:rPr>
        <w:t xml:space="preserve">約25%過大評価</w:t>
      </w:r>
      <w:r>
        <w:t xml:space="preserve">（t=50年時点）すると批判しており、2028年フェーズ3での見直しが議論されている。</w:t>
      </w:r>
      <w:r>
        <w:rPr>
          <w:b/>
        </w:rPr>
        <w:t xml:space="preserve">この批判を正直に開示することが科学的報告書の信頼性を担保する。</w:t>
      </w:r>
    </w:p>
    <w:p>
      <w:pPr>
        <w:numPr>
          <w:ilvl w:val="0"/>
          <w:numId w:val="1016"/>
        </w:numPr>
        <w:pStyle w:val="Compact"/>
      </w:pPr>
      <w:r>
        <w:rPr>
          <w:b/>
        </w:rPr>
        <w:t xml:space="preserve">解体・再利用（No.14）:</w:t>
      </w:r>
      <w:r>
        <w:t xml:space="preserve"> </w:t>
      </w:r>
      <w:r>
        <w:t xml:space="preserve">解体段階（C1–C4）の炭素放出にはDCF補正が適用される。DモジュールはIC計算から除外されるが、任意申告可能。再利用シナリオ（CLT部材の再使用等）では炭素放出タイミングが後ろ倒しになり、動的LCAで追加クレジットが生まれる可能性がある。</w:t>
      </w:r>
    </w:p>
    <w:p>
      <w:r>
        <w:pict>
          <v:rect style="width:0;height:1.5pt" o:hralign="center" o:hrstd="t" o:hr="t"/>
        </w:pict>
      </w:r>
    </w:p>
    <w:p>
      <w:pPr>
        <w:pStyle w:val="Heading2"/>
      </w:pPr>
      <w:bookmarkStart w:id="78" w:name="貯蔵量stockc算定方法no.12"/>
      <w:r>
        <w:t xml:space="preserve">1. 貯蔵量（StockC）算定方法（No.12）</w:t>
      </w:r>
      <w:bookmarkEnd w:id="78"/>
    </w:p>
    <w:p>
      <w:pPr>
        <w:pStyle w:val="BlockText"/>
      </w:pPr>
      <w:r>
        <w:rPr>
          <w:b/>
        </w:rPr>
        <w:t xml:space="preserve">本節で分かること:</w:t>
      </w:r>
      <w:r>
        <w:t xml:space="preserve"> </w:t>
      </w:r>
      <w:r>
        <w:t xml:space="preserve">生物由来炭素の貯蔵がRE2020でどのように算定・評価されるか（StockC指標と動的評価による正味便益の2系統）。EN 15804の手法との違いを含めて解説する。</w:t>
      </w:r>
    </w:p>
    <w:p>
      <w:pPr>
        <w:pStyle w:val="Heading3"/>
      </w:pPr>
      <w:bookmarkStart w:id="79" w:name="バイオジェニック炭素とは"/>
      <w:r>
        <w:t xml:space="preserve">1.1 バイオジェニック炭素とは</w:t>
      </w:r>
      <w:bookmarkEnd w:id="79"/>
    </w:p>
    <w:p>
      <w:pPr>
        <w:pStyle w:val="FirstParagraph"/>
      </w:pPr>
      <w:r>
        <w:rPr>
          <w:b/>
        </w:rPr>
        <w:t xml:space="preserve">バイオジェニック炭素（biogenic carbon）</w:t>
      </w:r>
      <w:r>
        <w:t xml:space="preserve">とは、大気中CO₂を光合成により固定した生物由来の炭素である。木材・竹材・麻繊維等のバイオ系建材はこの炭素を製品中に貯蔵しており、建物の耐用年数（50〜100年）にわたって大気への放出を遅延させる。</w:t>
      </w:r>
    </w:p>
    <w:p>
      <w:pPr>
        <w:pStyle w:val="BodyText"/>
      </w:pPr>
      <w:r>
        <w:t xml:space="preserve">バイオジェニック炭素の扱いは、建材LCAにおいて以下の2つの主要アプローチが競合する：</w:t>
      </w:r>
    </w:p>
    <w:tbl>
      <w:tblPr>
        <w:tblStyle w:val="Table"/>
        <w:tblW w:type="pct" w:w="5000.0"/>
        <w:tblLook w:firstRow="1"/>
      </w:tblPr>
      <w:tblGrid>
        <w:gridCol w:w="3350"/>
        <w:gridCol w:w="1827"/>
        <w:gridCol w:w="2741"/>
      </w:tblGrid>
      <w:tr>
        <w:trPr>
          <w:cnfStyle w:firstRow="1"/>
        </w:trPr>
        <w:tc>
          <w:tcPr>
            <w:tcBorders>
              <w:bottom w:val="single"/>
            </w:tcBorders>
            <w:vAlign w:val="bottom"/>
          </w:tcPr>
          <w:p>
            <w:pPr>
              <w:pStyle w:val="Compact"/>
              <w:jc w:val="left"/>
            </w:pPr>
            <w:r>
              <w:t xml:space="preserve">アプローチ</w:t>
            </w:r>
          </w:p>
        </w:tc>
        <w:tc>
          <w:tcPr>
            <w:tcBorders>
              <w:bottom w:val="single"/>
            </w:tcBorders>
            <w:vAlign w:val="bottom"/>
          </w:tcPr>
          <w:p>
            <w:pPr>
              <w:pStyle w:val="Compact"/>
              <w:jc w:val="left"/>
            </w:pPr>
            <w:r>
              <w:t xml:space="preserve">概要</w:t>
            </w:r>
          </w:p>
        </w:tc>
        <w:tc>
          <w:tcPr>
            <w:tcBorders>
              <w:bottom w:val="single"/>
            </w:tcBorders>
            <w:vAlign w:val="bottom"/>
          </w:tcPr>
          <w:p>
            <w:pPr>
              <w:pStyle w:val="Compact"/>
              <w:jc w:val="left"/>
            </w:pPr>
            <w:r>
              <w:t xml:space="preserve">採用規格</w:t>
            </w:r>
          </w:p>
        </w:tc>
      </w:tr>
      <w:tr>
        <w:tc>
          <w:p>
            <w:pPr>
              <w:pStyle w:val="Compact"/>
              <w:jc w:val="left"/>
            </w:pPr>
            <w:r>
              <w:rPr>
                <w:b/>
              </w:rPr>
              <w:t xml:space="preserve">−1/+1アプローチ（静的）</w:t>
            </w:r>
          </w:p>
        </w:tc>
        <w:tc>
          <w:p>
            <w:pPr>
              <w:pStyle w:val="Compact"/>
              <w:jc w:val="left"/>
            </w:pPr>
            <w:r>
              <w:t xml:space="preserve">A1-A3で固定（−1 kgCO₂/kgC）、C段階で放出（+1 kgCO₂/kgC）を等価計上。正味ゼロ</w:t>
            </w:r>
          </w:p>
        </w:tc>
        <w:tc>
          <w:p>
            <w:pPr>
              <w:pStyle w:val="Compact"/>
              <w:jc w:val="left"/>
            </w:pPr>
            <w:r>
              <w:t xml:space="preserve">EN 15804+A2</w:t>
            </w:r>
          </w:p>
        </w:tc>
      </w:tr>
      <w:tr>
        <w:tc>
          <w:p>
            <w:pPr>
              <w:pStyle w:val="Compact"/>
              <w:jc w:val="left"/>
            </w:pPr>
            <w:r>
              <w:rPr>
                <w:b/>
              </w:rPr>
              <w:t xml:space="preserve">動的バイオジェニック炭素評価</w:t>
            </w:r>
          </w:p>
        </w:tc>
        <w:tc>
          <w:p>
            <w:pPr>
              <w:pStyle w:val="Compact"/>
              <w:jc w:val="left"/>
            </w:pPr>
            <w:r>
              <w:t xml:space="preserve">A1-A3の固定を</w:t>
            </w:r>
            <w:r>
              <w:t xml:space="preserve"> </w:t>
            </w:r>
            <m:oMath>
              <m:r>
                <m:t>D</m:t>
              </m:r>
              <m:r>
                <m:t>C</m:t>
              </m:r>
              <m:r>
                <m:t>F</m:t>
              </m:r>
              <m:r>
                <m:t>=</m:t>
              </m:r>
              <m:r>
                <m:t>1.0</m:t>
              </m:r>
            </m:oMath>
            <w:r>
              <w:t xml:space="preserve"> </w:t>
            </w:r>
            <w:r>
              <w:t xml:space="preserve">で、C段階の放出を</w:t>
            </w:r>
            <w:r>
              <w:t xml:space="preserve"> </w:t>
            </w:r>
            <m:oMath>
              <m:r>
                <m:t>D</m:t>
              </m:r>
              <m:r>
                <m:t>C</m:t>
              </m:r>
              <m:r>
                <m:t>F</m:t>
              </m:r>
              <m:r>
                <m:t>(</m:t>
              </m:r>
              <m:sSub>
                <m:e>
                  <m:r>
                    <m:t>t</m:t>
                  </m:r>
                </m:e>
                <m:sub>
                  <m:r>
                    <m:rPr>
                      <m:nor/>
                      <m:sty m:val="p"/>
                    </m:rPr>
                    <m:t>EoL</m:t>
                  </m:r>
                </m:sub>
              </m:sSub>
              <m:r>
                <m:t>)</m:t>
              </m:r>
              <m:r>
                <m:t>&lt;</m:t>
              </m:r>
              <m:r>
                <m:t>1</m:t>
              </m:r>
            </m:oMath>
            <w:r>
              <w:t xml:space="preserve"> </w:t>
            </w:r>
            <w:r>
              <w:t xml:space="preserve">で計上。</w:t>
            </w:r>
            <w:r>
              <w:rPr>
                <w:b/>
              </w:rPr>
              <w:t xml:space="preserve">正味クレジット発生</w:t>
            </w:r>
          </w:p>
        </w:tc>
        <w:tc>
          <w:p>
            <w:pPr>
              <w:pStyle w:val="Compact"/>
              <w:jc w:val="left"/>
            </w:pPr>
            <w:r>
              <w:t xml:space="preserve">RE2020（規制としては世界初）。自主・研究では ノルウェーFutureBuilt ZERO・米国POD|LCA 等も採用</w:t>
            </w:r>
          </w:p>
        </w:tc>
      </w:tr>
    </w:tbl>
    <w:p>
      <w:pPr>
        <w:pStyle w:val="BodyText"/>
      </w:pPr>
      <w:r>
        <w:rPr>
          <w:b/>
        </w:rPr>
        <w:t xml:space="preserve">2つのアプローチの構造的違い（テキスト図）:</w:t>
      </w:r>
    </w:p>
    <w:p>
      <w:pPr>
        <w:pStyle w:val="SourceCode"/>
      </w:pPr>
      <w:r>
        <w:rPr>
          <w:rStyle w:val="VerbatimChar"/>
        </w:rPr>
        <w:t xml:space="preserve">「静的 −1/+1 アプローチ（EN 15804）」</w:t>
      </w:r>
      <w:r>
        <w:br/>
      </w:r>
      <w:r>
        <w:rPr>
          <w:rStyle w:val="VerbatimChar"/>
        </w:rPr>
        <w:t xml:space="preserve">  A1-A3（t=0）《木材製造》  →  計上: −1.0 kgCO₂/kgC</w:t>
      </w:r>
      <w:r>
        <w:br/>
      </w:r>
      <w:r>
        <w:rPr>
          <w:rStyle w:val="VerbatimChar"/>
        </w:rPr>
        <w:t xml:space="preserve">  C4（t=50y）《解体焼却》   →  計上: +1.0 kgCO₂/kgC</w:t>
      </w:r>
      <w:r>
        <w:br/>
      </w:r>
      <w:r>
        <w:rPr>
          <w:rStyle w:val="VerbatimChar"/>
        </w:rPr>
        <w:t xml:space="preserve">  正味合計 = −1.0 + 1.0 = 0（ゼロ）</w:t>
      </w:r>
      <w:r>
        <w:br/>
      </w:r>
      <w:r>
        <w:br/>
      </w:r>
      <w:r>
        <w:rPr>
          <w:rStyle w:val="VerbatimChar"/>
        </w:rPr>
        <w:t xml:space="preserve">「動的バイオジェニック炭素評価（RE2020）」</w:t>
      </w:r>
      <w:r>
        <w:br/>
      </w:r>
      <w:r>
        <w:rPr>
          <w:rStyle w:val="VerbatimChar"/>
        </w:rPr>
        <w:t xml:space="preserve">  A1-A3（t=0）《木材製造》  →  DCF(0)=1.0   →  計上: −1.0 kgCO₂/kgC</w:t>
      </w:r>
      <w:r>
        <w:br/>
      </w:r>
      <w:r>
        <w:rPr>
          <w:rStyle w:val="VerbatimChar"/>
        </w:rPr>
        <w:t xml:space="preserve">  C4（t=50y）《解体焼却》   →  DCF(50)=0.58 →  計上: +0.58 kgCO₂/kgC</w:t>
      </w:r>
      <w:r>
        <w:br/>
      </w:r>
      <w:r>
        <w:rPr>
          <w:rStyle w:val="VerbatimChar"/>
        </w:rPr>
        <w:t xml:space="preserve">  正味合計 = −1.0 + 0.58 = −0.42 kgCO₂/kgC ← ネットクレジット</w:t>
      </w:r>
    </w:p>
    <w:p>
      <w:pPr>
        <w:pStyle w:val="FirstParagraph"/>
      </w:pPr>
      <w:r>
        <w:t xml:space="preserve">RE2020の動的評価では、「将来の排出に割引」が入るため、木材のバイオジェニック炭素に正味のネットクレジットが生まれる。これが動的評価による正味便益の本質である。</w:t>
      </w:r>
    </w:p>
    <w:p>
      <w:pPr>
        <w:pStyle w:val="BlockText"/>
      </w:pPr>
      <w:r>
        <w:rPr>
          <w:b/>
        </w:rPr>
        <w:t xml:space="preserve">⚠️ 用語の整理（重要）:</w:t>
      </w:r>
      <w:r>
        <w:t xml:space="preserve"> </w:t>
      </w:r>
      <w:r>
        <w:t xml:space="preserve">本報告書の旧版ではこの正味便益を「StockC」と呼んでいたが、</w:t>
      </w:r>
      <w:r>
        <w:rPr>
          <w:b/>
        </w:rPr>
        <w:t xml:space="preserve">RE2020の規制用語としての StockC は「建物中の生物由来炭素貯蔵量」を kg C/m² で示す情報提供指標</w:t>
      </w:r>
      <w:r>
        <w:t xml:space="preserve">であり、Ic から減算されるクレジットではない。正味便益は動的重み係数の非対称性によって</w:t>
      </w:r>
      <w:r>
        <w:t xml:space="preserve"> </w:t>
      </w:r>
      <w:r>
        <w:rPr>
          <w:b/>
        </w:rPr>
        <w:t xml:space="preserve">Ic construction の計算内部</w:t>
      </w:r>
      <w:r>
        <w:t xml:space="preserve">で自動的に発現する。本章では以下、「正味便益」と表記する。</w:t>
      </w:r>
    </w:p>
    <w:p>
      <w:pPr>
        <w:pStyle w:val="Heading3"/>
      </w:pPr>
      <w:bookmarkStart w:id="80" w:name="動的評価による正味便益の算定フロー"/>
      <w:r>
        <w:t xml:space="preserve">1.2 動的評価による正味便益の算定フロー</w:t>
      </w:r>
      <w:bookmarkEnd w:id="80"/>
    </w:p>
    <w:p>
      <w:pPr>
        <w:pStyle w:val="FirstParagraph"/>
      </w:pPr>
      <w:r>
        <w:t xml:space="preserve">RE2020の動的LCAにおける生物由来炭素の正味便益は以下の手順で算定される（Cerema, 2024）：</w:t>
      </w:r>
    </w:p>
    <w:p>
      <w:pPr>
        <w:pStyle w:val="SourceCode"/>
      </w:pPr>
      <w:r>
        <w:rPr>
          <w:rStyle w:val="VerbatimChar"/>
        </w:rPr>
        <w:t xml:space="preserve">正味便益の算定フロー（Ic construction 計算の内部で適用）:</w:t>
      </w:r>
      <w:r>
        <w:br/>
      </w:r>
      <w:r>
        <w:rPr>
          <w:rStyle w:val="VerbatimChar"/>
        </w:rPr>
        <w:t xml:space="preserve">① 建材i のバイオジェニック炭素量 B_i [kgCO₂eq/m³] を特定（INIESのFDESデータ）</w:t>
      </w:r>
      <w:r>
        <w:br/>
      </w:r>
      <w:r>
        <w:rPr>
          <w:rStyle w:val="VerbatimChar"/>
        </w:rPr>
        <w:t xml:space="preserve">② A1-A3段階（t=0）での固定量: −B_i × coefficient(0) = −B_i × 1.000 → 即時計上</w:t>
      </w:r>
      <w:r>
        <w:br/>
      </w:r>
      <w:r>
        <w:rPr>
          <w:rStyle w:val="VerbatimChar"/>
        </w:rPr>
        <w:t xml:space="preserve">③ C段階（t = t_EoL）での放出量: +B_i × coefficient(t_EoL)</w:t>
      </w:r>
      <w:r>
        <w:br/>
      </w:r>
      <w:r>
        <w:rPr>
          <w:rStyle w:val="VerbatimChar"/>
        </w:rPr>
        <w:t xml:space="preserve">   ただし coefficient(t) は線形逓減（t=50年で 0.578、t &gt; 50年は 0.578 固定）</w:t>
      </w:r>
      <w:r>
        <w:br/>
      </w:r>
      <w:r>
        <w:rPr>
          <w:rStyle w:val="VerbatimChar"/>
        </w:rPr>
        <w:t xml:space="preserve">④ 正味便益_i = −B_i × 1.000 + B_i × coefficient(t_EoL) = B_i × [coefficient(t_EoL) − 1]</w:t>
      </w:r>
      <w:r>
        <w:br/>
      </w:r>
      <w:r>
        <w:rPr>
          <w:rStyle w:val="VerbatimChar"/>
        </w:rPr>
        <w:t xml:space="preserve">⑤ 建物全体: 正味便益 = Σ_i 正味便益_i （Ic construction に内包される）</w:t>
      </w:r>
      <w:r>
        <w:br/>
      </w:r>
      <w:r>
        <w:br/>
      </w:r>
      <w:r>
        <w:rPr>
          <w:rStyle w:val="VerbatimChar"/>
        </w:rPr>
        <w:t xml:space="preserve">（参考）規制上の StockC 指標 = 建物中の生物由来炭素貯蔵量 [kg C/m²] の開示</w:t>
      </w:r>
      <w:r>
        <w:br/>
      </w:r>
      <w:r>
        <w:rPr>
          <w:rStyle w:val="VerbatimChar"/>
        </w:rPr>
        <w:t xml:space="preserve">        ※持続可能管理された資源由来であることが計上条件</w:t>
      </w:r>
    </w:p>
    <w:p>
      <w:pPr>
        <w:pStyle w:val="FirstParagraph"/>
      </w:pPr>
      <w:r>
        <w:rPr>
          <w:b/>
        </w:rPr>
        <w:t xml:space="preserve">数値例：CLT 1 m³ を建物に50年使用した場合（設計耐用年数50年、</w:t>
      </w:r>
      <m:oMath>
        <m:sSub>
          <m:e>
            <m:r>
              <m:t>t</m:t>
            </m:r>
          </m:e>
          <m:sub>
            <m:r>
              <m:rPr>
                <m:nor/>
                <m:sty m:val="p"/>
              </m:rPr>
              <m:t>EoL</m:t>
            </m:r>
          </m:sub>
        </m:sSub>
        <m:r>
          <m:t>=</m:t>
        </m:r>
        <m:r>
          <m:t>50</m:t>
        </m:r>
      </m:oMath>
      <w:r>
        <w:rPr>
          <w:b/>
        </w:rPr>
        <w:t xml:space="preserve"> </w:t>
      </w:r>
      <w:r>
        <w:rPr>
          <w:b/>
        </w:rPr>
        <w:t xml:space="preserve">年）:</w:t>
      </w:r>
    </w:p>
    <w:tbl>
      <w:tblPr>
        <w:tblStyle w:val="Table"/>
        <w:tblW w:type="pct" w:w="0.0"/>
        <w:tblLook w:firstRow="1"/>
      </w:tblPr>
      <w:tblGrid/>
      <w:tr>
        <w:trPr>
          <w:cnfStyle w:firstRow="1"/>
        </w:trPr>
        <w:tc>
          <w:tcPr>
            <w:tcBorders>
              <w:bottom w:val="single"/>
            </w:tcBorders>
            <w:vAlign w:val="bottom"/>
          </w:tcPr>
          <w:p>
            <w:pPr>
              <w:pStyle w:val="Compact"/>
              <w:jc w:val="left"/>
            </w:pPr>
            <w:r>
              <w:t xml:space="preserve">炭素フロー</w:t>
            </w:r>
          </w:p>
        </w:tc>
        <w:tc>
          <w:tcPr>
            <w:tcBorders>
              <w:bottom w:val="single"/>
            </w:tcBorders>
            <w:vAlign w:val="bottom"/>
          </w:tcPr>
          <w:p>
            <w:pPr>
              <w:pStyle w:val="Compact"/>
              <w:jc w:val="left"/>
            </w:pPr>
            <w:r>
              <w:t xml:space="preserve">タイミング</w:t>
            </w:r>
            <w:r>
              <w:t xml:space="preserve"> </w:t>
            </w:r>
            <m:oMath>
              <m:r>
                <m:t>t</m:t>
              </m:r>
            </m:oMath>
          </w:p>
        </w:tc>
        <w:tc>
          <w:tcPr>
            <w:tcBorders>
              <w:bottom w:val="single"/>
            </w:tcBorders>
            <w:vAlign w:val="bottom"/>
          </w:tcPr>
          <w:p>
            <w:pPr>
              <w:pStyle w:val="Compact"/>
              <w:jc w:val="left"/>
            </w:pPr>
            <w:r>
              <w:t xml:space="preserve">炭素量</w:t>
            </w:r>
          </w:p>
        </w:tc>
        <w:tc>
          <w:tcPr>
            <w:tcBorders>
              <w:bottom w:val="single"/>
            </w:tcBorders>
            <w:vAlign w:val="bottom"/>
          </w:tcPr>
          <w:p>
            <w:pPr>
              <w:pStyle w:val="Compact"/>
              <w:jc w:val="left"/>
            </w:pPr>
            <w:r>
              <w:t xml:space="preserve">DCF係数</w:t>
            </w:r>
          </w:p>
        </w:tc>
        <w:tc>
          <w:tcPr>
            <w:tcBorders>
              <w:bottom w:val="single"/>
            </w:tcBorders>
            <w:vAlign w:val="bottom"/>
          </w:tcPr>
          <w:p>
            <w:pPr>
              <w:pStyle w:val="Compact"/>
              <w:jc w:val="left"/>
            </w:pPr>
            <w:r>
              <w:t xml:space="preserve">補正後GHG当量</w:t>
            </w:r>
          </w:p>
        </w:tc>
      </w:tr>
      <w:tr>
        <w:tc>
          <w:p>
            <w:pPr>
              <w:pStyle w:val="Compact"/>
              <w:jc w:val="left"/>
            </w:pPr>
            <w:r>
              <w:t xml:space="preserve">バイオジェニック炭素固定（A1-A3）</w:t>
            </w:r>
          </w:p>
        </w:tc>
        <w:tc>
          <w:p>
            <w:pPr>
              <w:pStyle w:val="Compact"/>
              <w:jc w:val="left"/>
            </w:pPr>
            <m:oMath>
              <m:r>
                <m:t>t</m:t>
              </m:r>
              <m:r>
                <m:t>=</m:t>
              </m:r>
              <m:r>
                <m:t>0</m:t>
              </m:r>
            </m:oMath>
          </w:p>
        </w:tc>
        <w:tc>
          <w:p>
            <w:pPr>
              <w:pStyle w:val="Compact"/>
              <w:jc w:val="left"/>
            </w:pPr>
            <w:r>
              <w:t xml:space="preserve">−640 kgCO₂eq</w:t>
            </w:r>
          </w:p>
        </w:tc>
        <w:tc>
          <w:p>
            <w:pPr>
              <w:pStyle w:val="Compact"/>
              <w:jc w:val="left"/>
            </w:pPr>
            <w:r>
              <w:t xml:space="preserve">1.000</w:t>
            </w:r>
          </w:p>
        </w:tc>
        <w:tc>
          <w:p>
            <w:pPr>
              <w:pStyle w:val="Compact"/>
              <w:jc w:val="left"/>
            </w:pPr>
            <w:r>
              <w:rPr>
                <w:b/>
              </w:rPr>
              <w:t xml:space="preserve">−640 kgCO₂eq</w:t>
            </w:r>
          </w:p>
        </w:tc>
      </w:tr>
      <w:tr>
        <w:tc>
          <w:p>
            <w:pPr>
              <w:pStyle w:val="Compact"/>
              <w:jc w:val="left"/>
            </w:pPr>
            <w:r>
              <w:t xml:space="preserve">解体焼却時の炭素放出（C4）</w:t>
            </w:r>
          </w:p>
        </w:tc>
        <w:tc>
          <w:p>
            <w:pPr>
              <w:pStyle w:val="Compact"/>
              <w:jc w:val="left"/>
            </w:pPr>
            <m:oMath>
              <m:r>
                <m:t>t</m:t>
              </m:r>
              <m:r>
                <m:t>=</m:t>
              </m:r>
              <m:r>
                <m:t>50</m:t>
              </m:r>
            </m:oMath>
            <w:r>
              <w:t xml:space="preserve"> </w:t>
            </w:r>
            <w:r>
              <w:t xml:space="preserve">年</w:t>
            </w:r>
          </w:p>
        </w:tc>
        <w:tc>
          <w:p>
            <w:pPr>
              <w:pStyle w:val="Compact"/>
              <w:jc w:val="left"/>
            </w:pPr>
            <w:r>
              <w:t xml:space="preserve">+640 kgCO₂eq</w:t>
            </w:r>
          </w:p>
        </w:tc>
        <w:tc>
          <w:p>
            <w:pPr>
              <w:pStyle w:val="Compact"/>
              <w:jc w:val="left"/>
            </w:pPr>
            <w:r>
              <w:t xml:space="preserve">0.578</w:t>
            </w:r>
          </w:p>
        </w:tc>
        <w:tc>
          <w:p>
            <w:pPr>
              <w:pStyle w:val="Compact"/>
              <w:jc w:val="left"/>
            </w:pPr>
            <w:r>
              <w:rPr>
                <w:b/>
              </w:rPr>
              <w:t xml:space="preserve">+370 kgCO₂eq</w:t>
            </w:r>
          </w:p>
        </w:tc>
      </w:tr>
      <w:tr>
        <w:tc>
          <w:p>
            <w:pPr>
              <w:pStyle w:val="Compact"/>
              <w:jc w:val="left"/>
            </w:pPr>
            <w:r>
              <w:rPr>
                <w:b/>
              </w:rPr>
              <w:t xml:space="preserve">正味便益</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−270 kgCO₂eq/m³</w:t>
            </w:r>
          </w:p>
        </w:tc>
      </w:tr>
    </w:tbl>
    <w:p>
      <w:pPr>
        <w:pStyle w:val="BodyText"/>
      </w:pPr>
      <w:r>
        <w:rPr>
          <w:b/>
        </w:rPr>
        <w:t xml:space="preserve">解釈:</w:t>
      </w:r>
      <w:r>
        <w:t xml:space="preserve"> </w:t>
      </w:r>
      <w:r>
        <w:t xml:space="preserve">静的LCA（−1/+1）では炭素フローが相殺されて実質ゼロだが、動的LCAでは50年後の放出が約42%割り引かれるため、</w:t>
      </w:r>
      <w:r>
        <w:rPr>
          <w:b/>
        </w:rPr>
        <w:t xml:space="preserve">約−270 kgCO₂eq/m³ のネットクレジット</w:t>
      </w:r>
      <w:r>
        <w:t xml:space="preserve">が生まれる。これは第1編 §4.7 のCLT評価逆転幅（+98 → −171、変化幅 −269）と整合する。</w:t>
      </w:r>
    </w:p>
    <w:p>
      <w:pPr>
        <w:pStyle w:val="BlockText"/>
      </w:pPr>
      <w:r>
        <w:rPr>
          <w:b/>
        </w:rPr>
        <w:t xml:space="preserve">⚠️ 数値の根拠と留保:</w:t>
      </w:r>
      <w:r>
        <w:t xml:space="preserve"> </w:t>
      </w:r>
      <w:r>
        <w:t xml:space="preserve">生物由来炭素量</w:t>
      </w:r>
      <w:r>
        <w:t xml:space="preserve"> </w:t>
      </w:r>
      <m:oMath>
        <m:r>
          <m:t>B</m:t>
        </m:r>
        <m:r>
          <m:t>≈</m:t>
        </m:r>
        <m:r>
          <m:t>640</m:t>
        </m:r>
      </m:oMath>
      <w:r>
        <w:t xml:space="preserve"> </w:t>
      </w:r>
      <w:r>
        <w:t xml:space="preserve">kgCO₂eq/m³ は第1編の評価逆転幅から</w:t>
      </w:r>
      <w:r>
        <w:t xml:space="preserve"> </w:t>
      </w:r>
      <m:oMath>
        <m:r>
          <m:t>B</m:t>
        </m:r>
        <m:r>
          <m:t>=</m:t>
        </m:r>
        <m:r>
          <m:t>269</m:t>
        </m:r>
        <m:r>
          <m:t>/</m:t>
        </m:r>
        <m:r>
          <m:t>(</m:t>
        </m:r>
        <m:r>
          <m:t>1</m:t>
        </m:r>
        <m:r>
          <m:t>−</m:t>
        </m:r>
        <m:r>
          <m:t>0.578</m:t>
        </m:r>
        <m:r>
          <m:t>)</m:t>
        </m:r>
      </m:oMath>
      <w:r>
        <w:t xml:space="preserve"> </w:t>
      </w:r>
      <w:r>
        <w:t xml:space="preserve">として逆算した値で、CLTの文献典型値（約650〜860 kgCO₂/m³。Perez et al., 2021等）と整合する。旧版では269を炭素量そのものとして誤用していた。INIESの実FDESデータとの最終照合は第3係調査と連動して実施する。</w:t>
      </w:r>
    </w:p>
    <w:p>
      <w:pPr>
        <w:pStyle w:val="Heading3"/>
      </w:pPr>
      <w:bookmarkStart w:id="81" w:name="持続可能な森林管理sfmの必要条件"/>
      <w:r>
        <w:t xml:space="preserve">1.3 持続可能な森林管理（SFM）の必要条件</w:t>
      </w:r>
      <w:bookmarkEnd w:id="81"/>
    </w:p>
    <w:p>
      <w:pPr>
        <w:pStyle w:val="FirstParagraph"/>
      </w:pPr>
      <w:r>
        <w:t xml:space="preserve">StockC 指標への計上および動的評価による正味便益は、</w:t>
      </w:r>
      <w:r>
        <w:rPr>
          <w:b/>
        </w:rPr>
        <w:t xml:space="preserve">持続可能な森林管理（SFM: Sustainable Forest Management）</w:t>
      </w:r>
      <w:r>
        <w:t xml:space="preserve">が維持されることを前提とする。RE2020では StockC 指標への計上条件として持続可能管理された資源由来であることが求められており、伐採した木材量と同等量の植林・再成長が保証されることが、バイオジェニック炭素を「中立」または「正味便益」として計上する前提条件である。FSC・PEFC認証が主要な証明手段となる。SFM前提が成立しない場合のバイオジェニック炭素評価の方法論は未確立であり（Hoxha et al., 2020）、日本の読者は国産木材の場合にこの前提条件を必ず確認する必要がある。</w:t>
      </w:r>
    </w:p>
    <w:p>
      <w:pPr>
        <w:pStyle w:val="Heading3"/>
      </w:pPr>
      <w:bookmarkStart w:id="82" w:name="en-15804a2との関係"/>
      <w:r>
        <w:t xml:space="preserve">1.4 EN 15804+A2との関係</w:t>
      </w:r>
      <w:bookmarkEnd w:id="82"/>
    </w:p>
    <w:p>
      <w:pPr>
        <w:pStyle w:val="FirstParagraph"/>
      </w:pPr>
      <w:r>
        <w:t xml:space="preserve">EN 15804+A2は「−1/+1アプローチ」を基本とし、バイオジェニック炭素の時間的割引は</w:t>
      </w:r>
      <w:r>
        <w:rPr>
          <w:b/>
        </w:rPr>
        <w:t xml:space="preserve">任意（オプション的推奨）</w:t>
      </w:r>
      <w:r>
        <w:t xml:space="preserve">として「GWP-dyn」の別途報告を認めるに留まる。RE2020はこれを</w:t>
      </w:r>
      <w:r>
        <w:rPr>
          <w:b/>
        </w:rPr>
        <w:t xml:space="preserve">義務化</w:t>
      </w:r>
      <w:r>
        <w:t xml:space="preserve">し、動的補正をIc指標の計算に組み込んだ点で国際規格を超える先進的取り組みである。</w:t>
      </w:r>
    </w:p>
    <w:p>
      <w:pPr>
        <w:pStyle w:val="BodyText"/>
      </w:pPr>
      <w:r>
        <w:t xml:space="preserve">動的バイオジェニック炭素評価を直接規定する国際規格は本報告書作成時点では存在しないが、EN 15804/EN 15978の次期改訂（CEN/TC 350）において動的アプローチの組み込みが議論されている。</w:t>
      </w:r>
    </w:p>
    <w:p>
      <w:r>
        <w:pict>
          <v:rect style="width:0;height:1.5pt" o:hralign="center" o:hrstd="t" o:hr="t"/>
        </w:pict>
      </w:r>
    </w:p>
    <w:p>
      <w:pPr>
        <w:pStyle w:val="Heading2"/>
      </w:pPr>
      <w:bookmarkStart w:id="83" w:name="評価期間の設定根拠no.13"/>
      <w:r>
        <w:t xml:space="preserve">2. 評価期間の設定根拠（No.13）</w:t>
      </w:r>
      <w:bookmarkEnd w:id="83"/>
    </w:p>
    <w:p>
      <w:pPr>
        <w:pStyle w:val="BlockText"/>
      </w:pPr>
      <w:r>
        <w:rPr>
          <w:b/>
        </w:rPr>
        <w:t xml:space="preserve">本節で分かること:</w:t>
      </w:r>
      <w:r>
        <w:t xml:space="preserve"> </w:t>
      </w:r>
      <w:r>
        <w:t xml:space="preserve">なぜ</w:t>
      </w:r>
      <w:r>
        <w:t xml:space="preserve"> </w:t>
      </w:r>
      <m:oMath>
        <m:r>
          <m:t>D</m:t>
        </m:r>
        <m:r>
          <m:t>O</m:t>
        </m:r>
        <m:r>
          <m:t>=</m:t>
        </m:r>
        <m:r>
          <m:t>100</m:t>
        </m:r>
      </m:oMath>
      <w:r>
        <w:t xml:space="preserve"> </w:t>
      </w:r>
      <w:r>
        <w:t xml:space="preserve">年が採用されたか。時間地平線の選択が評価結果に与える影響を定量的に示す。</w:t>
      </w:r>
    </w:p>
    <w:p>
      <w:pPr>
        <w:pStyle w:val="Heading3"/>
      </w:pPr>
      <w:bookmarkStart w:id="84" w:name="do時間地平線の選択肢と影響"/>
      <w:r>
        <w:t xml:space="preserve">2.1 DO（時間地平線）の選択肢と影響</w:t>
      </w:r>
      <w:bookmarkEnd w:id="84"/>
    </w:p>
    <w:p>
      <w:pPr>
        <w:pStyle w:val="FirstParagraph"/>
      </w:pPr>
      <w:r>
        <w:t xml:space="preserve">時間地平線（DO: Durée d’Observation）は動的LCAにおいて最も重要な設計パラメータの一つである。DOの選択により、同じ建物・同じ建材に対する評価結果が大きく変化する。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w:t>
            </w:r>
          </w:p>
        </w:tc>
        <w:tc>
          <w:tcPr>
            <w:tcBorders>
              <w:bottom w:val="single"/>
            </w:tcBorders>
            <w:vAlign w:val="bottom"/>
          </w:tcPr>
          <w:p>
            <w:pPr>
              <w:pStyle w:val="Compact"/>
              <w:jc w:val="left"/>
            </w:pPr>
            <w:r>
              <w:t xml:space="preserve">建設時クレジット（即時）</w:t>
            </w:r>
          </w:p>
        </w:tc>
        <w:tc>
          <w:tcPr>
            <w:tcBorders>
              <w:bottom w:val="single"/>
            </w:tcBorders>
            <w:vAlign w:val="bottom"/>
          </w:tcPr>
          <w:p>
            <w:pPr>
              <w:pStyle w:val="Compact"/>
              <w:jc w:val="left"/>
            </w:pPr>
            <w:r>
              <w:t xml:space="preserve">CLT</w:t>
            </w:r>
            <w:r>
              <w:t xml:space="preserve"> </w:t>
            </w:r>
            <m:oMath>
              <m:r>
                <m:t>t</m:t>
              </m:r>
              <m:r>
                <m:t>=</m:t>
              </m:r>
              <m:r>
                <m:t>50</m:t>
              </m:r>
            </m:oMath>
            <w:r>
              <w:t xml:space="preserve">年放出の係数</w:t>
            </w:r>
          </w:p>
        </w:tc>
        <w:tc>
          <w:tcPr>
            <w:tcBorders>
              <w:bottom w:val="single"/>
            </w:tcBorders>
            <w:vAlign w:val="bottom"/>
          </w:tcPr>
          <w:p>
            <w:pPr>
              <w:pStyle w:val="Compact"/>
              <w:jc w:val="left"/>
            </w:pPr>
            <w:r>
              <w:t xml:space="preserve">木材への有利性</w:t>
            </w:r>
          </w:p>
        </w:tc>
      </w:tr>
      <w:tr>
        <w:tc>
          <w:p>
            <w:pPr>
              <w:pStyle w:val="Compact"/>
              <w:jc w:val="left"/>
            </w:pPr>
            <w:r>
              <w:rPr>
                <w:b/>
              </w:rPr>
              <w:t xml:space="preserve">50年</w:t>
            </w:r>
          </w:p>
        </w:tc>
        <w:tc>
          <w:p>
            <w:pPr>
              <w:pStyle w:val="Compact"/>
              <w:jc w:val="left"/>
            </w:pPr>
            <w:r>
              <w:t xml:space="preserve">1.000</w:t>
            </w:r>
          </w:p>
        </w:tc>
        <w:tc>
          <w:p>
            <w:pPr>
              <w:pStyle w:val="Compact"/>
              <w:jc w:val="left"/>
            </w:pPr>
            <w:r>
              <w:t xml:space="preserve">0.000（期間外）</w:t>
            </w:r>
          </w:p>
        </w:tc>
        <w:tc>
          <w:p>
            <w:pPr>
              <w:pStyle w:val="Compact"/>
              <w:jc w:val="left"/>
            </w:pPr>
            <w:r>
              <w:rPr>
                <w:b/>
              </w:rPr>
              <w:t xml:space="preserve">最大</w:t>
            </w:r>
            <w:r>
              <w:t xml:space="preserve">（放出が評価外）</w:t>
            </w:r>
          </w:p>
        </w:tc>
      </w:tr>
      <w:tr>
        <w:tc>
          <w:p>
            <w:pPr>
              <w:pStyle w:val="Compact"/>
              <w:jc w:val="left"/>
            </w:pPr>
            <w:r>
              <w:rPr>
                <w:b/>
              </w:rPr>
              <w:t xml:space="preserve">100年（RE2020）</w:t>
            </w:r>
          </w:p>
        </w:tc>
        <w:tc>
          <w:p>
            <w:pPr>
              <w:pStyle w:val="Compact"/>
              <w:jc w:val="left"/>
            </w:pPr>
            <w:r>
              <w:t xml:space="preserve">1.000</w:t>
            </w:r>
          </w:p>
        </w:tc>
        <w:tc>
          <w:p>
            <w:pPr>
              <w:pStyle w:val="Compact"/>
              <w:jc w:val="left"/>
            </w:pPr>
            <w:r>
              <w:t xml:space="preserve">0.578</w:t>
            </w:r>
          </w:p>
        </w:tc>
        <w:tc>
          <w:p>
            <w:pPr>
              <w:pStyle w:val="Compact"/>
              <w:jc w:val="left"/>
            </w:pPr>
            <w:r>
              <w:rPr>
                <w:b/>
              </w:rPr>
              <w:t xml:space="preserve">中程度</w:t>
            </w:r>
          </w:p>
        </w:tc>
      </w:tr>
      <w:tr>
        <w:tc>
          <w:p>
            <w:pPr>
              <w:pStyle w:val="Compact"/>
              <w:jc w:val="left"/>
            </w:pPr>
            <w:r>
              <w:rPr>
                <w:b/>
              </w:rPr>
              <w:t xml:space="preserve">150年</w:t>
            </w:r>
          </w:p>
        </w:tc>
        <w:tc>
          <w:p>
            <w:pPr>
              <w:pStyle w:val="Compact"/>
              <w:jc w:val="left"/>
            </w:pPr>
            <w:r>
              <w:t xml:space="preserve">1.000</w:t>
            </w:r>
          </w:p>
        </w:tc>
        <w:tc>
          <w:p>
            <w:pPr>
              <w:pStyle w:val="Compact"/>
              <w:jc w:val="left"/>
            </w:pPr>
            <w:r>
              <w:t xml:space="preserve">0.721</w:t>
            </w:r>
          </w:p>
        </w:tc>
        <w:tc>
          <w:p>
            <w:pPr>
              <w:pStyle w:val="Compact"/>
              <w:jc w:val="left"/>
            </w:pPr>
            <w:r>
              <w:rPr>
                <w:b/>
              </w:rPr>
              <w:t xml:space="preserve">低め</w:t>
            </w:r>
          </w:p>
        </w:tc>
      </w:tr>
      <w:tr>
        <w:tc>
          <w:p>
            <w:pPr>
              <w:pStyle w:val="Compact"/>
              <w:jc w:val="left"/>
            </w:pPr>
            <w:r>
              <w:rPr>
                <w:b/>
              </w:rPr>
              <w:t xml:space="preserve">∞（静的LCA相当）</w:t>
            </w:r>
          </w:p>
        </w:tc>
        <w:tc>
          <w:p>
            <w:pPr>
              <w:pStyle w:val="Compact"/>
              <w:jc w:val="left"/>
            </w:pPr>
            <w:r>
              <w:t xml:space="preserve">1.000</w:t>
            </w:r>
          </w:p>
        </w:tc>
        <w:tc>
          <w:p>
            <w:pPr>
              <w:pStyle w:val="Compact"/>
              <w:jc w:val="left"/>
            </w:pPr>
            <w:r>
              <w:t xml:space="preserve">1.000</w:t>
            </w:r>
          </w:p>
        </w:tc>
        <w:tc>
          <w:p>
            <w:pPr>
              <w:pStyle w:val="Compact"/>
              <w:jc w:val="left"/>
            </w:pPr>
            <w:r>
              <w:rPr>
                <w:b/>
              </w:rPr>
              <w:t xml:space="preserve">ゼロ</w:t>
            </w:r>
            <w:r>
              <w:t xml:space="preserve">（動的補正なし）</w:t>
            </w:r>
          </w:p>
        </w:tc>
      </w:tr>
    </w:tbl>
    <w:p>
      <w:pPr>
        <w:pStyle w:val="Heading3"/>
      </w:pPr>
      <w:bookmarkStart w:id="85" w:name="re2020がdo-100年を採用した根拠"/>
      <w:r>
        <w:t xml:space="preserve">2.2 RE2020がDO = 100年を採用した根拠</w:t>
      </w:r>
      <w:bookmarkEnd w:id="85"/>
    </w:p>
    <w:p>
      <w:pPr>
        <w:pStyle w:val="FirstParagraph"/>
      </w:pPr>
      <m:oMath>
        <m:r>
          <m:t>D</m:t>
        </m:r>
        <m:r>
          <m:t>O</m:t>
        </m:r>
        <m:r>
          <m:t>=</m:t>
        </m:r>
        <m:r>
          <m:t>100</m:t>
        </m:r>
      </m:oMath>
      <w:r>
        <w:t xml:space="preserve"> </w:t>
      </w:r>
      <w:r>
        <w:t xml:space="preserve">年の採用には以下の実務的理由があるとされる（確定経緯の一次資料は照合中）：</w:t>
      </w:r>
    </w:p>
    <w:p>
      <w:pPr>
        <w:numPr>
          <w:ilvl w:val="0"/>
          <w:numId w:val="1017"/>
        </w:numPr>
        <w:pStyle w:val="Compact"/>
      </w:pPr>
      <w:r>
        <w:rPr>
          <w:b/>
        </w:rPr>
        <w:t xml:space="preserve">IPCCのGWP100との整合:</w:t>
      </w:r>
      <w:r>
        <w:t xml:space="preserve"> </w:t>
      </w:r>
      <w:r>
        <w:t xml:space="preserve">静的LCAが準拠するGWP100（100年統合温暖化係数）と同じ時間地平線を使用することで、静的LCA結果との比較可能性を維持する</w:t>
      </w:r>
    </w:p>
    <w:p>
      <w:pPr>
        <w:numPr>
          <w:ilvl w:val="0"/>
          <w:numId w:val="1017"/>
        </w:numPr>
        <w:pStyle w:val="Compact"/>
      </w:pPr>
      <w:r>
        <w:rPr>
          <w:b/>
        </w:rPr>
        <w:t xml:space="preserve">建物ライフサイクルとの適合:</w:t>
      </w:r>
      <w:r>
        <w:t xml:space="preserve"> </w:t>
      </w:r>
      <w:r>
        <w:t xml:space="preserve">フランスの標準的建物耐用年数（50〜100年）とDOの2倍の関係は、最終排出フロー（</w:t>
      </w:r>
      <m:oMath>
        <m:r>
          <m:t>t</m:t>
        </m:r>
        <m:r>
          <m:t>=</m:t>
        </m:r>
        <m:r>
          <m:t>50</m:t>
        </m:r>
      </m:oMath>
      <w:r>
        <w:t xml:space="preserve"> </w:t>
      </w:r>
      <w:r>
        <w:t xml:space="preserve">年）が評価期間内に収まることを保証する</w:t>
      </w:r>
    </w:p>
    <w:p>
      <w:pPr>
        <w:numPr>
          <w:ilvl w:val="0"/>
          <w:numId w:val="1017"/>
        </w:numPr>
        <w:pStyle w:val="Compact"/>
      </w:pPr>
      <w:r>
        <w:rPr>
          <w:b/>
        </w:rPr>
        <w:t xml:space="preserve">数値的安定性:</w:t>
      </w:r>
      <w:r>
        <w:t xml:space="preserve"> </w:t>
      </w:r>
      <w:r>
        <w:t xml:space="preserve">DCF計算において</w:t>
      </w:r>
      <w:r>
        <w:t xml:space="preserve"> </w:t>
      </w:r>
      <m:oMath>
        <m:r>
          <m:t>D</m:t>
        </m:r>
        <m:r>
          <m:t>O</m:t>
        </m:r>
        <m:r>
          <m:t>=</m:t>
        </m:r>
        <m:r>
          <m:t>100</m:t>
        </m:r>
      </m:oMath>
      <w:r>
        <w:t xml:space="preserve"> </w:t>
      </w:r>
      <w:r>
        <w:t xml:space="preserve">年は数値積分の収束が安定しており、実務計算における誤差が小さい</w:t>
      </w:r>
    </w:p>
    <w:p>
      <w:pPr>
        <w:pStyle w:val="Heading3"/>
      </w:pPr>
      <w:bookmarkStart w:id="86" w:name="do固定に対する学術的批判"/>
      <w:r>
        <w:t xml:space="preserve">2.3 DO固定に対する学術的批判</w:t>
      </w:r>
      <w:bookmarkEnd w:id="86"/>
    </w:p>
    <w:p>
      <w:pPr>
        <w:pStyle w:val="FirstParagraph"/>
      </w:pPr>
      <w:r>
        <w:t xml:space="preserve">Ventura (2022) は</w:t>
      </w:r>
      <w:r>
        <w:t xml:space="preserve"> </w:t>
      </w:r>
      <m:oMath>
        <m:r>
          <m:t>D</m:t>
        </m:r>
        <m:r>
          <m:t>O</m:t>
        </m:r>
        <m:r>
          <m:t>=</m:t>
        </m:r>
        <m:r>
          <m:t>100</m:t>
        </m:r>
      </m:oMath>
      <w:r>
        <w:t xml:space="preserve"> </w:t>
      </w:r>
      <w:r>
        <w:t xml:space="preserve">年固定の問題を以下のように指摘する：</w:t>
      </w:r>
    </w:p>
    <w:p>
      <w:pPr>
        <w:numPr>
          <w:ilvl w:val="0"/>
          <w:numId w:val="1018"/>
        </w:numPr>
        <w:pStyle w:val="Compact"/>
      </w:pPr>
      <w:r>
        <w:rPr>
          <w:b/>
        </w:rPr>
        <w:t xml:space="preserve">概念的問題:</w:t>
      </w:r>
      <w:r>
        <w:t xml:space="preserve"> </w:t>
      </w:r>
      <w:r>
        <w:t xml:space="preserve">固定観測期間（TOD）の外側のフロー・影響が評価から脱落する。全フローを同一の影響時間地平（THI）で評価するLCA原則に従い、</w:t>
      </w:r>
      <m:oMath>
        <m:r>
          <m:t>T</m:t>
        </m:r>
        <m:r>
          <m:t>O</m:t>
        </m:r>
        <m:r>
          <m:t>D</m:t>
        </m:r>
        <m:r>
          <m:t>=</m:t>
        </m:r>
        <m:r>
          <m:t>L</m:t>
        </m:r>
        <m:r>
          <m:t>C</m:t>
        </m:r>
        <m:r>
          <m:t>D</m:t>
        </m:r>
      </m:oMath>
      <w:r>
        <w:t xml:space="preserve">（ライフサイクル期間）</w:t>
      </w:r>
      <m:oMath>
        <m:r>
          <m:t>+</m:t>
        </m:r>
        <m:r>
          <m:t>T</m:t>
        </m:r>
        <m:r>
          <m:t>H</m:t>
        </m:r>
        <m:r>
          <m:t>I</m:t>
        </m:r>
      </m:oMath>
      <w:r>
        <w:t xml:space="preserve"> </w:t>
      </w:r>
      <w:r>
        <w:t xml:space="preserve">とすべき</w:t>
      </w:r>
    </w:p>
    <w:p>
      <w:pPr>
        <w:numPr>
          <w:ilvl w:val="0"/>
          <w:numId w:val="1018"/>
        </w:numPr>
        <w:pStyle w:val="Compact"/>
      </w:pPr>
      <w:r>
        <w:rPr>
          <w:b/>
        </w:rPr>
        <w:t xml:space="preserve">過大評価の定量（一次資料で確認）:</w:t>
      </w:r>
      <w:r>
        <w:t xml:space="preserve"> </w:t>
      </w:r>
      <w:r>
        <w:t xml:space="preserve">t=50年の排出に対し、RE2020は係数</w:t>
      </w:r>
      <w:r>
        <w:t xml:space="preserve"> </w:t>
      </w:r>
      <w:r>
        <w:rPr>
          <w:b/>
        </w:rPr>
        <w:t xml:space="preserve">0.58</w:t>
      </w:r>
      <w:r>
        <w:t xml:space="preserve"> </w:t>
      </w:r>
      <w:r>
        <w:t xml:space="preserve">を適用するが、観測期間を可変（DO=100→150年）に補正した正しい係数は</w:t>
      </w:r>
      <w:r>
        <w:t xml:space="preserve"> </w:t>
      </w:r>
      <w:r>
        <w:rPr>
          <w:b/>
        </w:rPr>
        <w:t xml:space="preserve">0.72</w:t>
      </w:r>
      <w:r>
        <w:t xml:space="preserve"> </w:t>
      </w:r>
      <w:r>
        <w:t xml:space="preserve">である（Univ Gustave Eiffel ノート）。</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排出時点</w:t>
            </w:r>
            <w:r>
              <w:t xml:space="preserve"> </w:t>
            </w:r>
            <m:oMath>
              <m:sSub>
                <m:e>
                  <m:r>
                    <m:t>t</m:t>
                  </m:r>
                </m:e>
                <m:sub>
                  <m:r>
                    <m:t>i</m:t>
                  </m:r>
                </m:sub>
              </m:sSub>
            </m:oMath>
          </w:p>
        </w:tc>
        <w:tc>
          <w:tcPr>
            <w:tcBorders>
              <w:bottom w:val="single"/>
            </w:tcBorders>
            <w:vAlign w:val="bottom"/>
          </w:tcPr>
          <w:p>
            <w:pPr>
              <w:pStyle w:val="Compact"/>
              <w:jc w:val="left"/>
            </w:pPr>
            <w:r>
              <w:t xml:space="preserve">RE2020係数</w:t>
            </w:r>
          </w:p>
        </w:tc>
        <w:tc>
          <w:tcPr>
            <w:tcBorders>
              <w:bottom w:val="single"/>
            </w:tcBorders>
            <w:vAlign w:val="bottom"/>
          </w:tcPr>
          <w:p>
            <w:pPr>
              <w:pStyle w:val="Compact"/>
              <w:jc w:val="left"/>
            </w:pPr>
            <w:r>
              <w:t xml:space="preserve">補正後の正しい係数（可変DO）</w:t>
            </w:r>
          </w:p>
        </w:tc>
        <w:tc>
          <w:tcPr>
            <w:tcBorders>
              <w:bottom w:val="single"/>
            </w:tcBorders>
            <w:vAlign w:val="bottom"/>
          </w:tcPr>
          <w:p>
            <w:pPr>
              <w:pStyle w:val="Compact"/>
              <w:jc w:val="left"/>
            </w:pPr>
            <w:r>
              <w:t xml:space="preserve">出典</w:t>
            </w:r>
          </w:p>
        </w:tc>
      </w:tr>
      <w:tr>
        <w:tc>
          <w:p>
            <w:pPr>
              <w:pStyle w:val="Compact"/>
              <w:jc w:val="left"/>
            </w:pPr>
            <m:oMath>
              <m:r>
                <m:t>t</m:t>
              </m:r>
              <m:r>
                <m:t>=</m:t>
              </m:r>
              <m:r>
                <m:t>0</m:t>
              </m:r>
            </m:oMath>
          </w:p>
        </w:tc>
        <w:tc>
          <w:p>
            <w:pPr>
              <w:pStyle w:val="Compact"/>
              <w:jc w:val="left"/>
            </w:pPr>
            <w:r>
              <w:t xml:space="preserve">1.000</w:t>
            </w:r>
          </w:p>
        </w:tc>
        <w:tc>
          <w:p>
            <w:pPr>
              <w:pStyle w:val="Compact"/>
              <w:jc w:val="left"/>
            </w:pPr>
            <w:r>
              <w:t xml:space="preserve">1.000</w:t>
            </w:r>
          </w:p>
        </w:tc>
        <w:tc>
          <w:p>
            <w:pPr>
              <w:pStyle w:val="Compact"/>
              <w:jc w:val="left"/>
            </w:pPr>
            <w:r>
              <w:t xml:space="preserve">—</w:t>
            </w:r>
          </w:p>
        </w:tc>
      </w:tr>
      <w:tr>
        <w:tc>
          <w:p>
            <w:pPr>
              <w:pStyle w:val="Compact"/>
              <w:jc w:val="left"/>
            </w:pPr>
            <m:oMath>
              <m:r>
                <m:t>t</m:t>
              </m:r>
              <m:r>
                <m:t>=</m:t>
              </m:r>
              <m:r>
                <m:t>50</m:t>
              </m:r>
            </m:oMath>
            <w:r>
              <w:t xml:space="preserve">年</w:t>
            </w:r>
          </w:p>
        </w:tc>
        <w:tc>
          <w:p>
            <w:pPr>
              <w:pStyle w:val="Compact"/>
              <w:jc w:val="left"/>
            </w:pPr>
            <w:r>
              <w:t xml:space="preserve">0.578</w:t>
            </w:r>
          </w:p>
        </w:tc>
        <w:tc>
          <w:p>
            <w:pPr>
              <w:pStyle w:val="Compact"/>
              <w:jc w:val="left"/>
            </w:pPr>
            <w:r>
              <w:rPr>
                <w:b/>
              </w:rPr>
              <w:t xml:space="preserve">0.720</w:t>
            </w:r>
          </w:p>
        </w:tc>
        <w:tc>
          <w:p>
            <w:pPr>
              <w:pStyle w:val="Compact"/>
              <w:jc w:val="left"/>
            </w:pPr>
            <w:r>
              <w:t xml:space="preserve">Univ Gustave Eiffel ノート（明示値）</w:t>
            </w:r>
          </w:p>
        </w:tc>
      </w:tr>
    </w:tbl>
    <w:p>
      <w:pPr>
        <w:pStyle w:val="BlockText"/>
      </w:pPr>
      <w:r>
        <w:rPr>
          <w:b/>
        </w:rPr>
        <w:t xml:space="preserve">過大評価幅の2つの数値（両方一次資料）:</w:t>
      </w:r>
      <w:r>
        <w:t xml:space="preserve"> </w:t>
      </w:r>
      <w:r>
        <w:t xml:space="preserve">-</w:t>
      </w:r>
      <w:r>
        <w:t xml:space="preserve"> </w:t>
      </w:r>
      <w:r>
        <w:rPr>
          <w:b/>
        </w:rPr>
        <w:t xml:space="preserve">約35%</w:t>
      </w:r>
      <w:r>
        <w:t xml:space="preserve">: RE2020導入時のUniv Gustave Eiffelノートの記載（係数0.58 vs 0.72に基づく過大評価幅）</w:t>
      </w:r>
      <w:r>
        <w:t xml:space="preserve"> </w:t>
      </w:r>
      <w:r>
        <w:t xml:space="preserve">-</w:t>
      </w:r>
      <w:r>
        <w:t xml:space="preserve"> </w:t>
      </w:r>
      <w:r>
        <w:rPr>
          <w:b/>
        </w:rPr>
        <w:t xml:space="preserve">約25%</w:t>
      </w:r>
      <w:r>
        <w:t xml:space="preserve">: Ventura (2022) 査読論文アブストラクトの記載（「一時的炭素貯蔵の効果を t=50年で約25%過大評価」）</w:t>
      </w:r>
    </w:p>
    <w:p>
      <w:pPr>
        <w:pStyle w:val="BlockText"/>
      </w:pPr>
      <w:r>
        <w:t xml:space="preserve">両者は算定前提（補正観測期間の取り方）が異なるが、いずれも「RE2020は木材の貯蔵便益を</w:t>
      </w:r>
      <w:r>
        <w:rPr>
          <w:b/>
        </w:rPr>
        <w:t xml:space="preserve">2〜3割過大評価する方向にバイアスがある</w:t>
      </w:r>
      <w:r>
        <w:t xml:space="preserve">」という同じ結論を支持する。t=75年等の中間値は原典に明示がないため本表から削除した。</w:t>
      </w:r>
    </w:p>
    <w:p>
      <w:pPr>
        <w:numPr>
          <w:ilvl w:val="0"/>
          <w:numId w:val="1019"/>
        </w:numPr>
        <w:pStyle w:val="Compact"/>
      </w:pPr>
      <w:r>
        <w:rPr>
          <w:b/>
        </w:rPr>
        <w:t xml:space="preserve">政策的含意:</w:t>
      </w:r>
      <w:r>
        <w:t xml:space="preserve"> </w:t>
      </w:r>
      <w:r>
        <w:t xml:space="preserve">RE2020は木材産業に有利な方向の過大評価（t=50年で25〜35%）を内包しており、より厳密な係数への移行が2028年フェーズ3で検討されている</w:t>
      </w:r>
    </w:p>
    <w:p>
      <w:pPr>
        <w:pStyle w:val="Heading3"/>
      </w:pPr>
      <w:bookmarkStart w:id="87" w:name="国際標準化の動向"/>
      <w:r>
        <w:t xml:space="preserve">2.4 国際標準化の動向</w:t>
      </w:r>
      <w:bookmarkEnd w:id="87"/>
    </w:p>
    <w:p>
      <w:pPr>
        <w:pStyle w:val="FirstParagraph"/>
      </w:pPr>
      <w:r>
        <w:t xml:space="preserve">DO固定問題への対応として、各排出フローに応じた可変時間地平を用いる非線形DCFが学術的に提案されている（Levasseur et al., 2010; Ventura, 2022）。これを採用した国際規格は未成立であり、CEN/TC 350におけるEN 15978/EN 15804の改訂議論の中で扱われている。フランスは動的LCAの規制運用実績を持つ唯一の国として、この標準化議論に先行知見を提供する立場にある。</w:t>
      </w:r>
    </w:p>
    <w:p>
      <w:r>
        <w:pict>
          <v:rect style="width:0;height:1.5pt" o:hralign="center" o:hrstd="t" o:hr="t"/>
        </w:pict>
      </w:r>
    </w:p>
    <w:p>
      <w:pPr>
        <w:pStyle w:val="Heading2"/>
      </w:pPr>
      <w:bookmarkStart w:id="88" w:name="解体及び再利用での排出扱いno.14"/>
      <w:r>
        <w:t xml:space="preserve">3. 解体及び再利用での排出扱い（No.14）</w:t>
      </w:r>
      <w:bookmarkEnd w:id="88"/>
    </w:p>
    <w:p>
      <w:pPr>
        <w:pStyle w:val="BlockText"/>
      </w:pPr>
      <w:r>
        <w:rPr>
          <w:b/>
        </w:rPr>
        <w:t xml:space="preserve">本節で分かること:</w:t>
      </w:r>
      <w:r>
        <w:t xml:space="preserve"> </w:t>
      </w:r>
      <w:r>
        <w:t xml:space="preserve">建物の解体・廃棄・再利用の各段階でバイオジェニック炭素排出がどのように扱われるか。</w:t>
      </w:r>
    </w:p>
    <w:p>
      <w:pPr>
        <w:pStyle w:val="Heading3"/>
      </w:pPr>
      <w:bookmarkStart w:id="89" w:name="解体段階c1c4の炭素排出と動的補正"/>
      <w:r>
        <w:t xml:space="preserve">3.1 解体段階（C1–C4）の炭素排出と動的補正</w:t>
      </w:r>
      <w:bookmarkEnd w:id="89"/>
    </w:p>
    <w:p>
      <w:pPr>
        <w:pStyle w:val="FirstParagraph"/>
      </w:pPr>
      <w:r>
        <w:t xml:space="preserve">RE2020において、解体段階のライフサイクルモジュールは以下の構成となる：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モジュール</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動的LCA補正</w:t>
            </w:r>
          </w:p>
        </w:tc>
      </w:tr>
      <w:tr>
        <w:tc>
          <w:p>
            <w:pPr>
              <w:pStyle w:val="Compact"/>
              <w:jc w:val="left"/>
            </w:pPr>
            <w:r>
              <w:rPr>
                <w:b/>
              </w:rPr>
              <w:t xml:space="preserve">C1</w:t>
            </w:r>
          </w:p>
        </w:tc>
        <w:tc>
          <w:p>
            <w:pPr>
              <w:pStyle w:val="Compact"/>
              <w:jc w:val="left"/>
            </w:pPr>
            <w:r>
              <w:t xml:space="preserve">解体工事（重機等のエネルギー）</w:t>
            </w:r>
          </w:p>
        </w:tc>
        <w:tc>
          <w:p>
            <w:pPr>
              <w:pStyle w:val="Compact"/>
              <w:jc w:val="left"/>
            </w:pPr>
            <w:r>
              <w:t xml:space="preserve">補正あり（解体時点</w:t>
            </w:r>
            <w:r>
              <w:t xml:space="preserve"> </w:t>
            </w:r>
            <m:oMath>
              <m:sSub>
                <m:e>
                  <m:r>
                    <m:t>t</m:t>
                  </m:r>
                </m:e>
                <m:sub>
                  <m:r>
                    <m:rPr>
                      <m:nor/>
                      <m:sty m:val="p"/>
                    </m:rPr>
                    <m:t>C1</m:t>
                  </m:r>
                </m:sub>
              </m:sSub>
            </m:oMath>
            <w:r>
              <w:t xml:space="preserve"> </w:t>
            </w:r>
            <w:r>
              <w:t xml:space="preserve">でDCF適用）</w:t>
            </w:r>
          </w:p>
        </w:tc>
      </w:tr>
      <w:tr>
        <w:tc>
          <w:p>
            <w:pPr>
              <w:pStyle w:val="Compact"/>
              <w:jc w:val="left"/>
            </w:pPr>
            <w:r>
              <w:rPr>
                <w:b/>
              </w:rPr>
              <w:t xml:space="preserve">C2</w:t>
            </w:r>
          </w:p>
        </w:tc>
        <w:tc>
          <w:p>
            <w:pPr>
              <w:pStyle w:val="Compact"/>
              <w:jc w:val="left"/>
            </w:pPr>
            <w:r>
              <w:t xml:space="preserve">廃棄物輸送</w:t>
            </w:r>
          </w:p>
        </w:tc>
        <w:tc>
          <w:p>
            <w:pPr>
              <w:pStyle w:val="Compact"/>
              <w:jc w:val="left"/>
            </w:pPr>
            <w:r>
              <w:t xml:space="preserve">補正あり</w:t>
            </w:r>
          </w:p>
        </w:tc>
      </w:tr>
      <w:tr>
        <w:tc>
          <w:p>
            <w:pPr>
              <w:pStyle w:val="Compact"/>
              <w:jc w:val="left"/>
            </w:pPr>
            <w:r>
              <w:rPr>
                <w:b/>
              </w:rPr>
              <w:t xml:space="preserve">C3</w:t>
            </w:r>
          </w:p>
        </w:tc>
        <w:tc>
          <w:p>
            <w:pPr>
              <w:pStyle w:val="Compact"/>
              <w:jc w:val="left"/>
            </w:pPr>
            <w:r>
              <w:t xml:space="preserve">廃棄物処理（選別・破砕等）</w:t>
            </w:r>
          </w:p>
        </w:tc>
        <w:tc>
          <w:p>
            <w:pPr>
              <w:pStyle w:val="Compact"/>
              <w:jc w:val="left"/>
            </w:pPr>
            <w:r>
              <w:t xml:space="preserve">補正あり</w:t>
            </w:r>
          </w:p>
        </w:tc>
      </w:tr>
      <w:tr>
        <w:tc>
          <w:p>
            <w:pPr>
              <w:pStyle w:val="Compact"/>
              <w:jc w:val="left"/>
            </w:pPr>
            <w:r>
              <w:rPr>
                <w:b/>
              </w:rPr>
              <w:t xml:space="preserve">C4</w:t>
            </w:r>
          </w:p>
        </w:tc>
        <w:tc>
          <w:p>
            <w:pPr>
              <w:pStyle w:val="Compact"/>
              <w:jc w:val="left"/>
            </w:pPr>
            <w:r>
              <w:t xml:space="preserve">最終処分（廃棄・焼却・埋立）</w:t>
            </w:r>
          </w:p>
        </w:tc>
        <w:tc>
          <w:p>
            <w:pPr>
              <w:pStyle w:val="Compact"/>
              <w:jc w:val="left"/>
            </w:pPr>
            <w:r>
              <w:rPr>
                <w:b/>
              </w:rPr>
              <w:t xml:space="preserve">バイオジェニック炭素放出の主要タイミング</w:t>
            </w:r>
            <w:r>
              <w:t xml:space="preserve">。DCF(</w:t>
            </w:r>
            <m:oMath>
              <m:sSub>
                <m:e>
                  <m:r>
                    <m:t>t</m:t>
                  </m:r>
                </m:e>
                <m:sub>
                  <m:r>
                    <m:rPr>
                      <m:nor/>
                      <m:sty m:val="p"/>
                    </m:rPr>
                    <m:t>EoL</m:t>
                  </m:r>
                </m:sub>
              </m:sSub>
            </m:oMath>
            <w:r>
              <w:t xml:space="preserve">)で割引計上</w:t>
            </w:r>
          </w:p>
        </w:tc>
      </w:tr>
    </w:tbl>
    <w:p>
      <w:pPr>
        <w:pStyle w:val="BodyText"/>
      </w:pPr>
      <w:r>
        <w:rPr>
          <w:b/>
        </w:rPr>
        <w:t xml:space="preserve">炭素放出シナリオ別の扱い:</w:t>
      </w:r>
      <w:r>
        <w:t xml:space="preserve"> </w:t>
      </w:r>
      <w:r>
        <w:t xml:space="preserve">-</w:t>
      </w:r>
      <w:r>
        <w:t xml:space="preserve"> </w:t>
      </w:r>
      <w:r>
        <w:rPr>
          <w:b/>
        </w:rPr>
        <w:t xml:space="preserve">焼却（incinération）:</w:t>
      </w:r>
      <w:r>
        <w:t xml:space="preserve"> </w:t>
      </w:r>
      <w:r>
        <w:t xml:space="preserve">バイオジェニック炭素が</w:t>
      </w:r>
      <w:r>
        <w:t xml:space="preserve"> </w:t>
      </w:r>
      <m:oMath>
        <m:sSub>
          <m:e>
            <m:r>
              <m:t>t</m:t>
            </m:r>
          </m:e>
          <m:sub>
            <m:r>
              <m:rPr>
                <m:nor/>
                <m:sty m:val="p"/>
              </m:rPr>
              <m:t>EoL</m:t>
            </m:r>
          </m:sub>
        </m:sSub>
      </m:oMath>
      <w:r>
        <w:t xml:space="preserve"> </w:t>
      </w:r>
      <w:r>
        <w:t xml:space="preserve">に一括放出。</w:t>
      </w:r>
      <m:oMath>
        <m:r>
          <m:t>D</m:t>
        </m:r>
        <m:r>
          <m:t>C</m:t>
        </m:r>
        <m:r>
          <m:t>F</m:t>
        </m:r>
        <m:r>
          <m:t>(</m:t>
        </m:r>
        <m:sSub>
          <m:e>
            <m:r>
              <m:t>t</m:t>
            </m:r>
          </m:e>
          <m:sub>
            <m:r>
              <m:rPr>
                <m:nor/>
                <m:sty m:val="p"/>
              </m:rPr>
              <m:t>EoL</m:t>
            </m:r>
          </m:sub>
        </m:sSub>
        <m:r>
          <m:t>)</m:t>
        </m:r>
        <m:r>
          <m:t>=</m:t>
        </m:r>
        <m:r>
          <m:t>0.578</m:t>
        </m:r>
      </m:oMath>
      <w:r>
        <w:t xml:space="preserve">（設計耐用年数50年の場合）</w:t>
      </w:r>
      <w:r>
        <w:t xml:space="preserve"> </w:t>
      </w:r>
      <w:r>
        <w:t xml:space="preserve">-</w:t>
      </w:r>
      <w:r>
        <w:t xml:space="preserve"> </w:t>
      </w:r>
      <w:r>
        <w:rPr>
          <w:b/>
        </w:rPr>
        <w:t xml:space="preserve">埋立（landfill）:</w:t>
      </w:r>
      <w:r>
        <w:t xml:space="preserve"> </w:t>
      </w:r>
      <w:r>
        <w:t xml:space="preserve">炭素放出が長期にわたって分散。各放出時点に応じたDCF適用（ただし実務ではモデル化が複雑）</w:t>
      </w:r>
      <w:r>
        <w:t xml:space="preserve"> </w:t>
      </w:r>
      <w:r>
        <w:t xml:space="preserve">-</w:t>
      </w:r>
      <w:r>
        <w:t xml:space="preserve"> </w:t>
      </w:r>
      <w:r>
        <w:rPr>
          <w:b/>
        </w:rPr>
        <w:t xml:space="preserve">再利用（reuse）:</w:t>
      </w:r>
      <w:r>
        <w:t xml:space="preserve"> </w:t>
      </w:r>
      <w:r>
        <w:t xml:space="preserve">炭素放出が後ろ倒し →</w:t>
      </w:r>
      <w:r>
        <w:t xml:space="preserve"> </w:t>
      </w:r>
      <w:r>
        <w:rPr>
          <w:b/>
        </w:rPr>
        <w:t xml:space="preserve">追加クレジット発生</w:t>
      </w:r>
      <w:r>
        <w:t xml:space="preserve">（§3.2参照）</w:t>
      </w:r>
    </w:p>
    <w:p>
      <w:pPr>
        <w:pStyle w:val="Heading3"/>
      </w:pPr>
      <w:bookmarkStart w:id="90" w:name="再利用シナリオの動的lca的意義"/>
      <w:r>
        <w:t xml:space="preserve">3.2 再利用シナリオの動的LCA的意義</w:t>
      </w:r>
      <w:bookmarkEnd w:id="90"/>
    </w:p>
    <w:p>
      <w:pPr>
        <w:pStyle w:val="FirstParagraph"/>
      </w:pPr>
      <w:r>
        <w:t xml:space="preserve">RE2020の係数設計上の重要な前提を先に確認する：</w:t>
      </w:r>
      <w:r>
        <w:rPr>
          <w:b/>
        </w:rPr>
        <w:t xml:space="preserve">50年超の炭素放出には0.578固定係数が適用される</w:t>
      </w:r>
      <w:r>
        <w:t xml:space="preserve">（§2.1テーブル参照）。この下限固定により、CLT部材の再利用シナリオが生む追加クレジットは</w:t>
      </w:r>
      <w:r>
        <w:rPr>
          <w:b/>
        </w:rPr>
        <w:t xml:space="preserve">構造的に限定的</w:t>
      </w:r>
      <w:r>
        <w:t xml:space="preserve">である。</w:t>
      </w:r>
    </w:p>
    <w:p>
      <w:pPr>
        <w:pStyle w:val="BodyText"/>
      </w:pPr>
      <w:r>
        <w:t xml:space="preserve">CLT等の木質系建材を解体後に再使用するシナリオは、動的LCAにおいて特別な意義を持つ：</w:t>
      </w:r>
    </w:p>
    <w:p>
      <w:pPr>
        <w:pStyle w:val="BodyText"/>
      </w:pPr>
      <w:r>
        <w:rPr>
          <w:b/>
        </w:rPr>
        <w:t xml:space="preserve">具体例：CLT部材を50年目に解体し、さらに30年（計80年）再利用する場合</w:t>
      </w:r>
    </w:p>
    <w:tbl>
      <w:tblPr>
        <w:tblStyle w:val="Table"/>
        <w:tblW w:type="pct" w:w="0.0"/>
        <w:tblLook w:firstRow="1"/>
      </w:tblPr>
      <w:tblGrid/>
      <w:tr>
        <w:trPr>
          <w:cnfStyle w:firstRow="1"/>
        </w:trPr>
        <w:tc>
          <w:tcPr>
            <w:tcBorders>
              <w:bottom w:val="single"/>
            </w:tcBorders>
            <w:vAlign w:val="bottom"/>
          </w:tcPr>
          <w:p>
            <w:pPr>
              <w:pStyle w:val="Compact"/>
              <w:jc w:val="left"/>
            </w:pPr>
            <w:r>
              <w:t xml:space="preserve">シナリオ</w:t>
            </w:r>
          </w:p>
        </w:tc>
        <w:tc>
          <w:tcPr>
            <w:tcBorders>
              <w:bottom w:val="single"/>
            </w:tcBorders>
            <w:vAlign w:val="bottom"/>
          </w:tcPr>
          <w:p>
            <w:pPr>
              <w:pStyle w:val="Compact"/>
              <w:jc w:val="left"/>
            </w:pPr>
            <w:r>
              <w:t xml:space="preserve">炭素放出時点</w:t>
            </w:r>
          </w:p>
        </w:tc>
        <w:tc>
          <w:tcPr>
            <w:tcBorders>
              <w:bottom w:val="single"/>
            </w:tcBorders>
            <w:vAlign w:val="bottom"/>
          </w:tcPr>
          <w:p>
            <w:pPr>
              <w:pStyle w:val="Compact"/>
              <w:jc w:val="left"/>
            </w:pPr>
            <w:r>
              <w:t xml:space="preserve">DCF係数</w:t>
            </w:r>
          </w:p>
        </w:tc>
        <w:tc>
          <w:tcPr>
            <w:tcBorders>
              <w:bottom w:val="single"/>
            </w:tcBorders>
            <w:vAlign w:val="bottom"/>
          </w:tcPr>
          <w:p>
            <w:pPr>
              <w:pStyle w:val="Compact"/>
              <w:jc w:val="left"/>
            </w:pPr>
            <w:r>
              <w:t xml:space="preserve">正味便益</w:t>
            </w:r>
          </w:p>
        </w:tc>
      </w:tr>
      <w:tr>
        <w:tc>
          <w:p>
            <w:pPr>
              <w:pStyle w:val="Compact"/>
              <w:jc w:val="left"/>
            </w:pPr>
            <w:r>
              <w:rPr>
                <w:b/>
              </w:rPr>
              <w:t xml:space="preserve">一般廃棄（50年目焼却）</w:t>
            </w:r>
          </w:p>
        </w:tc>
        <w:tc>
          <w:p>
            <w:pPr>
              <w:pStyle w:val="Compact"/>
              <w:jc w:val="left"/>
            </w:pPr>
            <m:oMath>
              <m:r>
                <m:t>t</m:t>
              </m:r>
              <m:r>
                <m:t>=</m:t>
              </m:r>
              <m:r>
                <m:t>50</m:t>
              </m:r>
            </m:oMath>
            <w:r>
              <w:t xml:space="preserve">年</w:t>
            </w:r>
          </w:p>
        </w:tc>
        <w:tc>
          <w:p>
            <w:pPr>
              <w:pStyle w:val="Compact"/>
              <w:jc w:val="left"/>
            </w:pPr>
            <w:r>
              <w:t xml:space="preserve">0.578</w:t>
            </w:r>
          </w:p>
        </w:tc>
        <w:tc>
          <w:p>
            <w:pPr>
              <w:pStyle w:val="Compact"/>
              <w:jc w:val="left"/>
            </w:pPr>
            <w:r>
              <w:t xml:space="preserve">約−270 kgCO₂eq/m³</w:t>
            </w:r>
          </w:p>
        </w:tc>
      </w:tr>
      <w:tr>
        <w:tc>
          <w:p>
            <w:pPr>
              <w:pStyle w:val="Compact"/>
              <w:jc w:val="left"/>
            </w:pPr>
            <w:r>
              <w:rPr>
                <w:b/>
              </w:rPr>
              <w:t xml:space="preserve">再利用後廃棄（80年目焼却）</w:t>
            </w:r>
          </w:p>
        </w:tc>
        <w:tc>
          <w:p>
            <w:pPr>
              <w:pStyle w:val="Compact"/>
              <w:jc w:val="left"/>
            </w:pPr>
            <m:oMath>
              <m:r>
                <m:t>t</m:t>
              </m:r>
              <m:r>
                <m:t>=</m:t>
              </m:r>
              <m:r>
                <m:t>80</m:t>
              </m:r>
            </m:oMath>
            <w:r>
              <w:t xml:space="preserve">年</w:t>
            </w:r>
          </w:p>
        </w:tc>
        <w:tc>
          <w:p>
            <w:pPr>
              <w:pStyle w:val="Compact"/>
              <w:jc w:val="left"/>
            </w:pPr>
            <w:r>
              <w:t xml:space="preserve">0.578（下限固定）</w:t>
            </w:r>
          </w:p>
        </w:tc>
        <w:tc>
          <w:p>
            <w:pPr>
              <w:pStyle w:val="Compact"/>
              <w:jc w:val="left"/>
            </w:pPr>
            <w:r>
              <w:t xml:space="preserve">約−270 kgCO₂eq/m³（</w:t>
            </w:r>
            <w:r>
              <w:rPr>
                <w:b/>
              </w:rPr>
              <w:t xml:space="preserve">追加便益ゼロ</w:t>
            </w:r>
            <w:r>
              <w:t xml:space="preserve">）</w:t>
            </w:r>
          </w:p>
        </w:tc>
      </w:tr>
    </w:tbl>
    <w:p>
      <w:pPr>
        <w:pStyle w:val="BlockText"/>
      </w:pPr>
      <w:r>
        <w:rPr>
          <w:b/>
        </w:rPr>
        <w:t xml:space="preserve">留保注記:</w:t>
      </w:r>
      <w:r>
        <w:t xml:space="preserve"> </w:t>
      </w:r>
      <w:r>
        <w:t xml:space="preserve">RE2020の0.58下限固定により、50年超の再利用シナリオでは追加クレジットが限定的になる。Ventura (2022) 提案の可変時間地平方式では80年目の係数は約0.56となり差が生じる（数値は原典照合中の参考値）。</w:t>
      </w:r>
    </w:p>
    <w:p>
      <w:pPr>
        <w:pStyle w:val="FirstParagraph"/>
      </w:pPr>
      <w:r>
        <w:rPr>
          <w:b/>
        </w:rPr>
        <w:t xml:space="preserve">設計上の含意（サーキュラーデザイン）:</w:t>
      </w:r>
      <w:r>
        <w:t xml:space="preserve"> </w:t>
      </w:r>
      <w:r>
        <w:t xml:space="preserve">- 解体容易な接合方法（スクリュー接合等）→ 再利用率向上 → 動的クレジットの向上</w:t>
      </w:r>
      <w:r>
        <w:t xml:space="preserve"> </w:t>
      </w:r>
      <w:r>
        <w:t xml:space="preserve">- ただしRE2020の現行係数では再利用インセンティブが薄く、Dモジュール（§3.3参照）の扱いとも連動する課題</w:t>
      </w:r>
    </w:p>
    <w:p>
      <w:pPr>
        <w:pStyle w:val="Heading3"/>
      </w:pPr>
      <w:bookmarkStart w:id="91" w:name="dモジュールの扱い"/>
      <w:r>
        <w:t xml:space="preserve">3.3 Dモジュールの扱い</w:t>
      </w:r>
      <w:bookmarkEnd w:id="91"/>
    </w:p>
    <w:p>
      <w:pPr>
        <w:pStyle w:val="FirstParagraph"/>
      </w:pPr>
      <w:r>
        <w:t xml:space="preserve">Dモジュール（システム境界外便益）はIc指標の計算から</w:t>
      </w:r>
      <w:r>
        <w:rPr>
          <w:b/>
        </w:rPr>
        <w:t xml:space="preserve">除外</w:t>
      </w:r>
      <w:r>
        <w:t xml:space="preserve">されるが、再生可能エネルギー回収・リサイクル等の便益を任意に申告できる（Cerema, 2024, §4.2; Arrêté 2021 原文参照要）。</w:t>
      </w:r>
    </w:p>
    <w:p>
      <w:pPr>
        <w:pStyle w:val="BodyText"/>
      </w:pPr>
      <w:r>
        <w:t xml:space="preserve">主要なDモジュールシナリオ：</w:t>
      </w:r>
      <w:r>
        <w:t xml:space="preserve"> </w:t>
      </w:r>
      <w:r>
        <w:t xml:space="preserve">-</w:t>
      </w:r>
      <w:r>
        <w:t xml:space="preserve"> </w:t>
      </w:r>
      <w:r>
        <w:rPr>
          <w:b/>
        </w:rPr>
        <w:t xml:space="preserve">鉄鋼・アルミのリサイクルクレジット:</w:t>
      </w:r>
      <w:r>
        <w:t xml:space="preserve"> </w:t>
      </w:r>
      <w:r>
        <w:t xml:space="preserve">廃金属の市場価値から相当のクレジット計上可能</w:t>
      </w:r>
      <w:r>
        <w:t xml:space="preserve"> </w:t>
      </w:r>
      <w:r>
        <w:t xml:space="preserve">-</w:t>
      </w:r>
      <w:r>
        <w:t xml:space="preserve"> </w:t>
      </w:r>
      <w:r>
        <w:rPr>
          <w:b/>
        </w:rPr>
        <w:t xml:space="preserve">木材のEoLエネルギー回収:</w:t>
      </w:r>
      <w:r>
        <w:t xml:space="preserve"> </w:t>
      </w:r>
      <w:r>
        <w:t xml:space="preserve">廃材の熱回収を回避排出として計上（動的LCAの放出タイミングとの整合要件あり）</w:t>
      </w:r>
      <w:r>
        <w:t xml:space="preserve"> </w:t>
      </w:r>
      <w:r>
        <w:t xml:space="preserve">-</w:t>
      </w:r>
      <w:r>
        <w:t xml:space="preserve"> </w:t>
      </w:r>
      <w:r>
        <w:rPr>
          <w:b/>
        </w:rPr>
        <w:t xml:space="preserve">CLTの再利用クレジット:</w:t>
      </w:r>
      <w:r>
        <w:t xml:space="preserve"> </w:t>
      </w:r>
      <w:r>
        <w:t xml:space="preserve">解体後のCLT部材再利用。排出タイミング後ろ倒しにより追加クレジット可能性</w:t>
      </w:r>
    </w:p>
    <w:p>
      <w:pPr>
        <w:pStyle w:val="BodyText"/>
      </w:pPr>
      <w:r>
        <w:rPr>
          <w:b/>
        </w:rPr>
        <w:t xml:space="preserve">課題:</w:t>
      </w:r>
      <w:r>
        <w:t xml:space="preserve"> </w:t>
      </w:r>
      <w:r>
        <w:t xml:space="preserve">DモジュールがIc規制値に反映されないため、設計者のサーキュラー設計への経済的誘因が弱いという構造的問題がある（Hoxha et al., 2020; Rivaton, 2025）。</w:t>
      </w:r>
    </w:p>
    <w:p>
      <w:pPr>
        <w:pStyle w:val="Heading3"/>
      </w:pPr>
      <w:bookmarkStart w:id="92" w:name="sfm前提条件とサーキュラー設計の総括"/>
      <w:r>
        <w:t xml:space="preserve">3.4 SFM前提条件とサーキュラー設計の総括</w:t>
      </w:r>
      <w:bookmarkEnd w:id="92"/>
    </w:p>
    <w:p>
      <w:pPr>
        <w:pStyle w:val="FirstParagraph"/>
      </w:pPr>
      <w:r>
        <w:t xml:space="preserve">§1.3で述べたSFM前提条件は、解体・再利用局面でも引き続き適用される。サーキュラー設計とSFMの連動要点：</w:t>
      </w:r>
    </w:p>
    <w:p>
      <w:pPr>
        <w:numPr>
          <w:ilvl w:val="0"/>
          <w:numId w:val="1020"/>
        </w:numPr>
        <w:pStyle w:val="Compact"/>
      </w:pPr>
      <w:r>
        <w:rPr>
          <w:b/>
        </w:rPr>
        <w:t xml:space="preserve">FSC・PEFC認証</w:t>
      </w:r>
      <w:r>
        <w:t xml:space="preserve">：RE2020はFDESデータを通じて認証情報を間接的に要求し、SFMの担保を確保する</w:t>
      </w:r>
    </w:p>
    <w:p>
      <w:pPr>
        <w:numPr>
          <w:ilvl w:val="0"/>
          <w:numId w:val="1020"/>
        </w:numPr>
        <w:pStyle w:val="Compact"/>
      </w:pPr>
      <w:r>
        <w:rPr>
          <w:b/>
        </w:rPr>
        <w:t xml:space="preserve">再利用材のSFM証明</w:t>
      </w:r>
      <w:r>
        <w:t xml:space="preserve">：建材の再利用時も原素材の認証チェーンが保持されることが理想</w:t>
      </w:r>
    </w:p>
    <w:p>
      <w:pPr>
        <w:numPr>
          <w:ilvl w:val="0"/>
          <w:numId w:val="1020"/>
        </w:numPr>
        <w:pStyle w:val="Compact"/>
      </w:pPr>
      <w:r>
        <w:rPr>
          <w:b/>
        </w:rPr>
        <w:t xml:space="preserve">森林炭素ストックの変動</w:t>
      </w:r>
      <w:r>
        <w:t xml:space="preserve">：伐採速度と成長速度のバランスが崩れた場合の評価方法は規格上未解決（EN 15804+A2の既知の限界; Hoxha et al., 2020; Cherubini et al., 2011）</w:t>
      </w:r>
    </w:p>
    <w:p>
      <w:pPr>
        <w:numPr>
          <w:ilvl w:val="0"/>
          <w:numId w:val="1020"/>
        </w:numPr>
        <w:pStyle w:val="Compact"/>
      </w:pPr>
      <w:r>
        <w:rPr>
          <w:b/>
        </w:rPr>
        <w:t xml:space="preserve">フランス固有の課題</w:t>
      </w:r>
      <w:r>
        <w:t xml:space="preserve">：フランス国内林業のCO₂吸収源は近年減少傾向にあるとの報告あり（Rivaton, 2025; 頁番号要確認）。再利用シナリオが増えると、ストックの制度的保証がより重要になる</w:t>
      </w:r>
    </w:p>
    <w:p>
      <w:r>
        <w:pict>
          <v:rect style="width:0;height:1.5pt" o:hralign="center" o:hrstd="t" o:hr="t"/>
        </w:pict>
      </w:r>
    </w:p>
    <w:p>
      <w:pPr>
        <w:pStyle w:val="Heading2"/>
      </w:pPr>
      <w:bookmarkStart w:id="93" w:name="日本への示唆-1"/>
      <w:r>
        <w:t xml:space="preserve">4. 日本への示唆</w:t>
      </w:r>
      <w:bookmarkEnd w:id="93"/>
    </w:p>
    <w:tbl>
      <w:tblPr>
        <w:tblStyle w:val="Table"/>
        <w:tblW w:type="pct" w:w="5000.0"/>
        <w:tblLook w:firstRow="1"/>
      </w:tblPr>
      <w:tblGrid>
        <w:gridCol w:w="1875"/>
        <w:gridCol w:w="2709"/>
        <w:gridCol w:w="3334"/>
      </w:tblGrid>
      <w:tr>
        <w:trPr>
          <w:cnfStyle w:firstRow="1"/>
        </w:trPr>
        <w:tc>
          <w:tcPr>
            <w:tcBorders>
              <w:bottom w:val="single"/>
            </w:tcBorders>
            <w:vAlign w:val="bottom"/>
          </w:tcPr>
          <w:p>
            <w:pPr>
              <w:pStyle w:val="Compact"/>
              <w:jc w:val="left"/>
            </w:pPr>
            <w:r>
              <w:t xml:space="preserve">課題領域</w:t>
            </w:r>
          </w:p>
        </w:tc>
        <w:tc>
          <w:tcPr>
            <w:tcBorders>
              <w:bottom w:val="single"/>
            </w:tcBorders>
            <w:vAlign w:val="bottom"/>
          </w:tcPr>
          <w:p>
            <w:pPr>
              <w:pStyle w:val="Compact"/>
              <w:jc w:val="left"/>
            </w:pPr>
            <w:r>
              <w:t xml:space="preserve">フランスの教訓</w:t>
            </w:r>
          </w:p>
        </w:tc>
        <w:tc>
          <w:tcPr>
            <w:tcBorders>
              <w:bottom w:val="single"/>
            </w:tcBorders>
            <w:vAlign w:val="bottom"/>
          </w:tcPr>
          <w:p>
            <w:pPr>
              <w:pStyle w:val="Compact"/>
              <w:jc w:val="left"/>
            </w:pPr>
            <w:r>
              <w:t xml:space="preserve">日本のアクション</w:t>
            </w:r>
          </w:p>
        </w:tc>
      </w:tr>
      <w:tr>
        <w:tc>
          <w:p>
            <w:pPr>
              <w:pStyle w:val="Compact"/>
              <w:jc w:val="left"/>
            </w:pPr>
            <w:r>
              <w:rPr>
                <w:b/>
              </w:rPr>
              <w:t xml:space="preserve">貯蔵量・正味便益算定（No.12）</w:t>
            </w:r>
          </w:p>
        </w:tc>
        <w:tc>
          <w:p>
            <w:pPr>
              <w:pStyle w:val="Compact"/>
              <w:jc w:val="left"/>
            </w:pPr>
            <w:r>
              <w:t xml:space="preserve">Elodie（計算ツール）とINIES/FDES（データ基盤）で計算を自動化した</w:t>
            </w:r>
          </w:p>
        </w:tc>
        <w:tc>
          <w:p>
            <w:pPr>
              <w:pStyle w:val="Compact"/>
              <w:jc w:val="left"/>
            </w:pPr>
            <w:r>
              <w:t xml:space="preserve">IDEA等のDBへの時系列炭素フローデータ追加が最優先</w:t>
            </w:r>
          </w:p>
        </w:tc>
      </w:tr>
      <w:tr>
        <w:tc>
          <w:p>
            <w:pPr>
              <w:pStyle w:val="Compact"/>
              <w:jc w:val="left"/>
            </w:pPr>
            <w:r>
              <w:rPr>
                <w:b/>
              </w:rPr>
              <w:t xml:space="preserve">評価期間（No.13）</w:t>
            </w:r>
          </w:p>
        </w:tc>
        <w:tc>
          <w:p>
            <w:pPr>
              <w:pStyle w:val="Compact"/>
              <w:jc w:val="left"/>
            </w:pPr>
            <w:r>
              <w:t xml:space="preserve">DO=100年固定の問題が後に判明。日本は最初から非線形DCF（可変時間地平）の採用可能性を検討することが推奨</w:t>
            </w:r>
          </w:p>
        </w:tc>
        <w:tc>
          <w:p>
            <w:pPr>
              <w:pStyle w:val="Compact"/>
              <w:jc w:val="left"/>
            </w:pPr>
            <w:r>
              <w:t xml:space="preserve">国際標準化動向（CEN/TC 350等）の追跡と「時間地平線の合意」形成</w:t>
            </w:r>
          </w:p>
        </w:tc>
      </w:tr>
      <w:tr>
        <w:tc>
          <w:p>
            <w:pPr>
              <w:pStyle w:val="Compact"/>
              <w:jc w:val="left"/>
            </w:pPr>
            <w:r>
              <w:rPr>
                <w:b/>
              </w:rPr>
              <w:t xml:space="preserve">解体・再利用（No.14）</w:t>
            </w:r>
          </w:p>
        </w:tc>
        <w:tc>
          <w:p>
            <w:pPr>
              <w:pStyle w:val="Compact"/>
              <w:jc w:val="left"/>
            </w:pPr>
            <w:r>
              <w:t xml:space="preserve">Dモジュール除外でサーキュラー設計への誘因が弱い</w:t>
            </w:r>
          </w:p>
        </w:tc>
        <w:tc>
          <w:p>
            <w:pPr>
              <w:pStyle w:val="Compact"/>
              <w:jc w:val="left"/>
            </w:pPr>
            <w:r>
              <w:t xml:space="preserve">日本の制度設計ではDモジュールのIc計算への部分反映を検討すべき</w:t>
            </w:r>
          </w:p>
        </w:tc>
      </w:tr>
      <w:tr>
        <w:tc>
          <w:p>
            <w:pPr>
              <w:pStyle w:val="Compact"/>
              <w:jc w:val="left"/>
            </w:pPr>
            <w:r>
              <w:rPr>
                <w:b/>
              </w:rPr>
              <w:t xml:space="preserve">SFM前提</w:t>
            </w:r>
          </w:p>
        </w:tc>
        <w:tc>
          <w:p>
            <w:pPr>
              <w:pStyle w:val="Compact"/>
              <w:jc w:val="left"/>
            </w:pPr>
            <w:r>
              <w:t xml:space="preserve">FSC/PEFC認証と連動</w:t>
            </w:r>
          </w:p>
        </w:tc>
        <w:tc>
          <w:p>
            <w:pPr>
              <w:pStyle w:val="Compact"/>
              <w:jc w:val="left"/>
            </w:pPr>
            <w:r>
              <w:t xml:space="preserve">日本の「グリーンウッド」等の国産木材認証との連動を検討</w:t>
            </w:r>
          </w:p>
        </w:tc>
      </w:tr>
    </w:tbl>
    <w:p>
      <w:r>
        <w:pict>
          <v:rect style="width:0;height:1.5pt" o:hralign="center" o:hrstd="t" o:hr="t"/>
        </w:pict>
      </w:r>
    </w:p>
    <w:p>
      <w:pPr>
        <w:pStyle w:val="Heading2"/>
      </w:pPr>
      <w:bookmarkStart w:id="94" w:name="参考文献-2"/>
      <w:r>
        <w:t xml:space="preserve">5. 参考文献</w:t>
      </w:r>
      <w:bookmarkEnd w:id="94"/>
    </w:p>
    <w:p>
      <w:pPr>
        <w:numPr>
          <w:ilvl w:val="0"/>
          <w:numId w:val="1021"/>
        </w:numPr>
        <w:pStyle w:val="Compact"/>
      </w:pPr>
      <w:r>
        <w:t xml:space="preserve">Arrêté du 4 août 2021. Journal officiel de la République française. [§1.2・§3.3の制度的根拠、Annexe原文照合要]</w:t>
      </w:r>
    </w:p>
    <w:p>
      <w:pPr>
        <w:numPr>
          <w:ilvl w:val="0"/>
          <w:numId w:val="1021"/>
        </w:numPr>
        <w:pStyle w:val="Compact"/>
      </w:pPr>
      <w:r>
        <w:t xml:space="preserve">Cerema (2024).</w:t>
      </w:r>
      <w:r>
        <w:t xml:space="preserve"> </w:t>
      </w:r>
      <w:r>
        <w:rPr>
          <w:i/>
        </w:rPr>
        <w:t xml:space="preserve">Guide RE2020 — Version janvier 2024</w:t>
      </w:r>
      <w:r>
        <w:t xml:space="preserve">. Paris.</w:t>
      </w:r>
    </w:p>
    <w:p>
      <w:pPr>
        <w:numPr>
          <w:ilvl w:val="0"/>
          <w:numId w:val="1021"/>
        </w:numPr>
        <w:pStyle w:val="Compact"/>
      </w:pPr>
      <w:r>
        <w:t xml:space="preserve">Cherubini, F., Bright, R.M., &amp; Strømman, A.H. (2011). Site-specific global warming potentials of biogenic CO₂ for bioenergy.</w:t>
      </w:r>
      <w:r>
        <w:t xml:space="preserve"> </w:t>
      </w:r>
      <w:r>
        <w:rPr>
          <w:i/>
        </w:rPr>
        <w:t xml:space="preserve">Environmental Research Letters</w:t>
      </w:r>
      <w:r>
        <w:t xml:space="preserve">, 7(4), 045902. [SFM前提・バイオジェニック炭素会計の基礎文献]</w:t>
      </w:r>
    </w:p>
    <w:p>
      <w:pPr>
        <w:numPr>
          <w:ilvl w:val="0"/>
          <w:numId w:val="1021"/>
        </w:numPr>
        <w:pStyle w:val="Compact"/>
      </w:pPr>
      <w:r>
        <w:t xml:space="preserve">EN 15804+A2 (2019). CEN, Brussels. [−1/+1アプローチの根拠規格]</w:t>
      </w:r>
    </w:p>
    <w:p>
      <w:pPr>
        <w:numPr>
          <w:ilvl w:val="0"/>
          <w:numId w:val="1021"/>
        </w:numPr>
        <w:pStyle w:val="Compact"/>
      </w:pPr>
      <w:r>
        <w:t xml:space="preserve">Hoxha, E. et al. (2020). Biogenic carbon in buildings: a critical overview of LCA methods.</w:t>
      </w:r>
      <w:r>
        <w:t xml:space="preserve"> </w:t>
      </w:r>
      <w:r>
        <w:rPr>
          <w:i/>
        </w:rPr>
        <w:t xml:space="preserve">Buildings and Cities</w:t>
      </w:r>
      <w:r>
        <w:t xml:space="preserve">, 1(1), 504–524. [バイオジェニック炭素会計方法論の比較]</w:t>
      </w:r>
    </w:p>
    <w:p>
      <w:pPr>
        <w:numPr>
          <w:ilvl w:val="0"/>
          <w:numId w:val="1021"/>
        </w:numPr>
        <w:pStyle w:val="Compact"/>
      </w:pPr>
      <w:r>
        <w:t xml:space="preserve">Perez, E., Borrion, A., &amp; Xu, Z. (2021). LCA of cross-laminated timber: systematic review.</w:t>
      </w:r>
      <w:r>
        <w:t xml:space="preserve"> </w:t>
      </w:r>
      <w:r>
        <w:rPr>
          <w:i/>
        </w:rPr>
        <w:t xml:space="preserve">Sustainability</w:t>
      </w:r>
      <w:r>
        <w:t xml:space="preserve">, 13(22), 12570.</w:t>
      </w:r>
    </w:p>
    <w:p>
      <w:pPr>
        <w:numPr>
          <w:ilvl w:val="0"/>
          <w:numId w:val="1021"/>
        </w:numPr>
        <w:pStyle w:val="Compact"/>
      </w:pPr>
      <w:r>
        <w:t xml:space="preserve">Rivaton, R. (2025).</w:t>
      </w:r>
      <w:r>
        <w:t xml:space="preserve"> </w:t>
      </w:r>
      <w:r>
        <w:rPr>
          <w:i/>
        </w:rPr>
        <w:t xml:space="preserve">Rapport d’évaluation de la RE2020</w:t>
      </w:r>
      <w:r>
        <w:t xml:space="preserve">（23提言）. 2025年7月10日提出. ecologie.gouv.fr掲載 [書誌確認済み]</w:t>
      </w:r>
    </w:p>
    <w:p>
      <w:pPr>
        <w:numPr>
          <w:ilvl w:val="0"/>
          <w:numId w:val="1021"/>
        </w:numPr>
        <w:pStyle w:val="Compact"/>
      </w:pPr>
      <w:r>
        <w:t xml:space="preserve">Solinnen (2018). Rapport sur les méthodes de calcul des impacts environnementaux. DHUP. Paris. [係数がSolinnen手法に基づくことはUniv Gustave Eiffel公開ノートで裏付け済み。正確な書誌・年は未確認]</w:t>
      </w:r>
    </w:p>
    <w:p>
      <w:pPr>
        <w:numPr>
          <w:ilvl w:val="0"/>
          <w:numId w:val="1021"/>
        </w:numPr>
        <w:pStyle w:val="Compact"/>
      </w:pPr>
      <w:r>
        <w:t xml:space="preserve">Temporiti, M. et al. (2021). Dynamic LCA of wood in construction.</w:t>
      </w:r>
      <w:r>
        <w:t xml:space="preserve"> </w:t>
      </w:r>
      <w:r>
        <w:rPr>
          <w:i/>
        </w:rPr>
        <w:t xml:space="preserve">Journal of Cleaner Production</w:t>
      </w:r>
      <w:r>
        <w:t xml:space="preserve">, 318, 128400.</w:t>
      </w:r>
    </w:p>
    <w:p>
      <w:pPr>
        <w:numPr>
          <w:ilvl w:val="0"/>
          <w:numId w:val="1021"/>
        </w:numPr>
        <w:pStyle w:val="Compact"/>
      </w:pPr>
      <w:r>
        <w:t xml:space="preserve">Ventura, A. (2022). Conceptual issue of the dynamic GWP indicator and solution.</w:t>
      </w:r>
      <w:r>
        <w:t xml:space="preserve"> </w:t>
      </w:r>
      <w:r>
        <w:rPr>
          <w:i/>
        </w:rPr>
        <w:t xml:space="preserve">The International Journal of Life Cycle Assessment</w:t>
      </w:r>
      <w:r>
        <w:t xml:space="preserve">, 28, 788–799. https://doi.org/10.1007/s11367-022-02028-x [書誌確認済み]</w:t>
      </w:r>
    </w:p>
    <w:p>
      <w:r>
        <w:pict>
          <v:rect style="width:0;height:1.5pt" o:hralign="center" o:hrstd="t" o:hr="t"/>
        </w:pict>
      </w:r>
    </w:p>
    <w:p>
      <w:pPr>
        <w:pStyle w:val="Heading2"/>
      </w:pPr>
      <w:bookmarkStart w:id="95" w:name="付録調査タスク対応表-2"/>
      <w:r>
        <w:t xml:space="preserve">付録：調査タスク対応表</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タスク番号</w:t>
            </w:r>
          </w:p>
        </w:tc>
        <w:tc>
          <w:tcPr>
            <w:tcBorders>
              <w:bottom w:val="single"/>
            </w:tcBorders>
            <w:vAlign w:val="bottom"/>
          </w:tcPr>
          <w:p>
            <w:pPr>
              <w:pStyle w:val="Compact"/>
              <w:jc w:val="left"/>
            </w:pPr>
            <w:r>
              <w:t xml:space="preserve">本章該当節</w:t>
            </w:r>
          </w:p>
        </w:tc>
      </w:tr>
      <w:tr>
        <w:tc>
          <w:p>
            <w:pPr>
              <w:pStyle w:val="Compact"/>
              <w:jc w:val="left"/>
            </w:pPr>
            <w:r>
              <w:t xml:space="preserve">No.12（ア）貯蔵量算定方法</w:t>
            </w:r>
          </w:p>
        </w:tc>
        <w:tc>
          <w:p>
            <w:pPr>
              <w:pStyle w:val="Compact"/>
              <w:jc w:val="left"/>
            </w:pPr>
            <w:r>
              <w:t xml:space="preserve">§1</w:t>
            </w:r>
          </w:p>
        </w:tc>
      </w:tr>
      <w:tr>
        <w:tc>
          <w:p>
            <w:pPr>
              <w:pStyle w:val="Compact"/>
              <w:jc w:val="left"/>
            </w:pPr>
            <w:r>
              <w:t xml:space="preserve">No.13（イ）評価期間の設定根拠</w:t>
            </w:r>
          </w:p>
        </w:tc>
        <w:tc>
          <w:p>
            <w:pPr>
              <w:pStyle w:val="Compact"/>
              <w:jc w:val="left"/>
            </w:pPr>
            <w:r>
              <w:t xml:space="preserve">§2</w:t>
            </w:r>
          </w:p>
        </w:tc>
      </w:tr>
      <w:tr>
        <w:tc>
          <w:p>
            <w:pPr>
              <w:pStyle w:val="Compact"/>
              <w:jc w:val="left"/>
            </w:pPr>
            <w:r>
              <w:t xml:space="preserve">No.14（ウ）解体及び再利用での排出扱い</w:t>
            </w:r>
          </w:p>
        </w:tc>
        <w:tc>
          <w:p>
            <w:pPr>
              <w:pStyle w:val="Compact"/>
              <w:jc w:val="left"/>
            </w:pPr>
            <w:r>
              <w:t xml:space="preserve">§3</w:t>
            </w:r>
          </w:p>
        </w:tc>
      </w:tr>
    </w:tbl>
    <w:p>
      <w:r>
        <w:pict>
          <v:rect style="width:0;height:1.5pt" o:hralign="center" o:hrstd="t" o:hr="t"/>
        </w:pict>
      </w:r>
    </w:p>
    <w:p>
      <w:pPr>
        <w:pStyle w:val="Heading1"/>
      </w:pPr>
      <w:bookmarkStart w:id="96" w:name="第4章-制度導入の背景検討プロセス導入判断の論点整理"/>
      <w:r>
        <w:t xml:space="preserve">第4章 制度導入の背景・検討プロセス・導入判断の論点整理</w:t>
      </w:r>
      <w:bookmarkEnd w:id="96"/>
    </w:p>
    <w:p>
      <w:pPr>
        <w:pStyle w:val="FirstParagraph"/>
      </w:pPr>
      <w:r>
        <w:rPr>
          <w:b/>
        </w:rPr>
        <w:t xml:space="preserve">調査項目 ④（タスク No.4・5・6・7）</w:t>
      </w:r>
      <w:r>
        <w:br/>
      </w:r>
      <w:r>
        <w:rPr>
          <w:b/>
        </w:rPr>
        <w:t xml:space="preserve">担当:</w:t>
      </w:r>
      <w:r>
        <w:t xml:space="preserve"> </w:t>
      </w:r>
      <w:r>
        <w:t xml:space="preserve">第1係（政策及び制度調査）</w:t>
      </w:r>
      <w:r>
        <w:br/>
      </w:r>
      <w:r>
        <w:rPr>
          <w:b/>
        </w:rPr>
        <w:t xml:space="preserve">版:</w:t>
      </w:r>
      <w:r>
        <w:t xml:space="preserve"> </w:t>
      </w:r>
      <w:r>
        <w:t xml:space="preserve">第5版 — 2026-06-11（PMOファクトチェック再評価反映: ISO記述削除・E+C-規模・グルネル表記・法令名・書誌修正。前版: 第3版 2026-05-28 因果論証全面強化）</w:t>
      </w:r>
      <w:r>
        <w:br/>
      </w:r>
      <w:r>
        <w:rPr>
          <w:b/>
        </w:rPr>
        <w:t xml:space="preserve">対応 TASKS.md:</w:t>
      </w:r>
      <w:r>
        <w:t xml:space="preserve"> </w:t>
      </w:r>
      <w:r>
        <w:rPr>
          <w:rStyle w:val="VerbatimChar"/>
        </w:rPr>
        <w:t xml:space="preserve">blocks/01_政策及び制度調査/TASKS.md</w:t>
      </w:r>
      <w:r>
        <w:t xml:space="preserve"> </w:t>
      </w:r>
      <w:r>
        <w:t xml:space="preserve">§ ④</w:t>
      </w:r>
    </w:p>
    <w:p>
      <w:r>
        <w:pict>
          <v:rect style="width:0;height:1.5pt" o:hralign="center" o:hrstd="t" o:hr="t"/>
        </w:pict>
      </w:r>
    </w:p>
    <w:p>
      <w:pPr>
        <w:pStyle w:val="Heading2"/>
      </w:pPr>
      <w:bookmarkStart w:id="97" w:name="エグゼクティブサマリー4つの収束した必然性"/>
      <w:r>
        <w:t xml:space="preserve">エグゼクティブサマリー：4つの収束した必然性</w:t>
      </w:r>
      <w:bookmarkEnd w:id="97"/>
    </w:p>
    <w:p>
      <w:pPr>
        <w:pStyle w:val="FirstParagraph"/>
      </w:pPr>
      <w:r>
        <w:t xml:space="preserve">フランスがRE2020で動的LCAを世界に先駆けて規制化した理由は、単なる「先進的政策への意欲」ではない。以下の</w:t>
      </w:r>
      <w:r>
        <w:rPr>
          <w:b/>
        </w:rPr>
        <w:t xml:space="preserve">4つの構造的必然性が同時に成立</w:t>
      </w:r>
      <w:r>
        <w:t xml:space="preserve">したことが決定要因であった。</w:t>
      </w:r>
    </w:p>
    <w:p>
      <w:pPr>
        <w:pStyle w:val="BlockText"/>
      </w:pPr>
      <w:r>
        <w:rPr>
          <w:b/>
        </w:rPr>
        <w:t xml:space="preserve">核心命題:</w:t>
      </w:r>
      <w:r>
        <w:t xml:space="preserve"> </w:t>
      </w:r>
      <w:r>
        <w:t xml:space="preserve">静的LCA（GWP100）は、木材建築物の炭素貯蔵という</w:t>
      </w:r>
      <w:r>
        <w:rPr>
          <w:b/>
        </w:rPr>
        <w:t xml:space="preserve">実在する気候便益を計測不能な評価指標</w:t>
      </w:r>
      <w:r>
        <w:t xml:space="preserve">であった。フランスはこの測定ツールの失敗を修正することで、気候目標・産業戦略・国際標準化の三目標を同時に達成した。</w:t>
      </w:r>
    </w:p>
    <w:tbl>
      <w:tblPr>
        <w:tblStyle w:val="Table"/>
        <w:tblW w:type="pct" w:w="5000.0"/>
        <w:tblLook w:firstRow="1"/>
      </w:tblPr>
      <w:tblGrid>
        <w:gridCol w:w="2880"/>
        <w:gridCol w:w="2160"/>
        <w:gridCol w:w="2880"/>
      </w:tblGrid>
      <w:tr>
        <w:trPr>
          <w:cnfStyle w:firstRow="1"/>
        </w:trPr>
        <w:tc>
          <w:tcPr>
            <w:tcBorders>
              <w:bottom w:val="single"/>
            </w:tcBorders>
            <w:vAlign w:val="bottom"/>
          </w:tcPr>
          <w:p>
            <w:pPr>
              <w:pStyle w:val="Compact"/>
              <w:jc w:val="left"/>
            </w:pPr>
            <w:r>
              <w:t xml:space="preserve">必然性</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収束点</w:t>
            </w:r>
          </w:p>
        </w:tc>
      </w:tr>
      <w:tr>
        <w:tc>
          <w:p>
            <w:pPr>
              <w:pStyle w:val="Compact"/>
              <w:jc w:val="left"/>
            </w:pPr>
            <w:r>
              <w:rPr>
                <w:b/>
              </w:rPr>
              <w:t xml:space="preserve">① 科学的必要性</w:t>
            </w:r>
          </w:p>
        </w:tc>
        <w:tc>
          <w:p>
            <w:pPr>
              <w:pStyle w:val="Compact"/>
              <w:jc w:val="left"/>
            </w:pPr>
            <w:r>
              <w:t xml:space="preserve">静的GWP100は「後の排出ほど気候影響が小さい」という物理的事実を無視する構造的欠陥を持つ</w:t>
            </w:r>
          </w:p>
        </w:tc>
        <w:tc>
          <w:p>
            <w:pPr>
              <w:pStyle w:val="Compact"/>
              <w:jc w:val="left"/>
            </w:pPr>
            <w:r>
              <w:t xml:space="preserve">評価ツールの失敗が政策の失敗を引き起こしていた</w:t>
            </w:r>
          </w:p>
        </w:tc>
      </w:tr>
      <w:tr>
        <w:tc>
          <w:p>
            <w:pPr>
              <w:pStyle w:val="Compact"/>
              <w:jc w:val="left"/>
            </w:pPr>
            <w:r>
              <w:rPr>
                <w:b/>
              </w:rPr>
              <w:t xml:space="preserve">② 政策的整合</w:t>
            </w:r>
          </w:p>
        </w:tc>
        <w:tc>
          <w:p>
            <w:pPr>
              <w:pStyle w:val="Compact"/>
              <w:jc w:val="left"/>
            </w:pPr>
            <w:r>
              <w:t xml:space="preserve">SNBC 2050目標の達成には、建材選択への正確な炭素シグナルが不可欠</w:t>
            </w:r>
          </w:p>
        </w:tc>
        <w:tc>
          <w:p>
            <w:pPr>
              <w:pStyle w:val="Compact"/>
              <w:jc w:val="left"/>
            </w:pPr>
            <w:r>
              <w:t xml:space="preserve">静的LCAの修正なしにはSNBC目標は達成不可能</w:t>
            </w:r>
          </w:p>
        </w:tc>
      </w:tr>
      <w:tr>
        <w:tc>
          <w:p>
            <w:pPr>
              <w:pStyle w:val="Compact"/>
              <w:jc w:val="left"/>
            </w:pPr>
            <w:r>
              <w:rPr>
                <w:b/>
              </w:rPr>
              <w:t xml:space="preserve">③ 産業戦略的利益</w:t>
            </w:r>
          </w:p>
        </w:tc>
        <w:tc>
          <w:p>
            <w:pPr>
              <w:pStyle w:val="Compact"/>
              <w:jc w:val="left"/>
            </w:pPr>
            <w:r>
              <w:t xml:space="preserve">フランスの木材産業は静的LCAによって「公平な競争条件」を与えられていなかった</w:t>
            </w:r>
          </w:p>
        </w:tc>
        <w:tc>
          <w:p>
            <w:pPr>
              <w:pStyle w:val="Compact"/>
              <w:jc w:val="left"/>
            </w:pPr>
            <w:r>
              <w:t xml:space="preserve">測定ツールの修正＝産業政策目標の達成</w:t>
            </w:r>
          </w:p>
        </w:tc>
      </w:tr>
      <w:tr>
        <w:tc>
          <w:p>
            <w:pPr>
              <w:pStyle w:val="Compact"/>
              <w:jc w:val="left"/>
            </w:pPr>
            <w:r>
              <w:rPr>
                <w:b/>
              </w:rPr>
              <w:t xml:space="preserve">④ 国際先行者戦略</w:t>
            </w:r>
          </w:p>
        </w:tc>
        <w:tc>
          <w:p>
            <w:pPr>
              <w:pStyle w:val="Compact"/>
              <w:jc w:val="left"/>
            </w:pPr>
            <w:r>
              <w:t xml:space="preserve">EU規格・国際規格の議論を先行する自国制度で主導し、国際競争上の優位を確保</w:t>
            </w:r>
          </w:p>
        </w:tc>
        <w:tc>
          <w:p>
            <w:pPr>
              <w:pStyle w:val="Compact"/>
              <w:jc w:val="left"/>
            </w:pPr>
            <w:r>
              <w:t xml:space="preserve">EPBD 2024への先行モデル提供・CEN/TC 350規格改訂議論への影響力として現れる</w:t>
            </w:r>
          </w:p>
        </w:tc>
      </w:tr>
    </w:tbl>
    <w:p>
      <w:pPr>
        <w:pStyle w:val="BlockText"/>
      </w:pPr>
      <w:r>
        <w:rPr>
          <w:b/>
        </w:rPr>
        <w:t xml:space="preserve">⚠️ 日本の判断にあたっての留意（本章の中立的立場）:</w:t>
      </w:r>
      <w:r>
        <w:t xml:space="preserve"> </w:t>
      </w:r>
      <w:r>
        <w:t xml:space="preserve">上記4点はフランスが動的LCAを選んだ「理由」の分析であり、</w:t>
      </w:r>
      <w:r>
        <w:rPr>
          <w:b/>
        </w:rPr>
        <w:t xml:space="preserve">日本も同じ選択をすべきという結論ではない</w:t>
      </w:r>
      <w:r>
        <w:t xml:space="preserve">。動的LCAを採用する国はフランスのみで、EU・北欧の主流は静的LCAである（§7.3）。一時的炭素貯蔵に便益を与えること自体への科学的異論（§9.2）、データ基盤・コストの課題も存在する。導入の是非・代替手段・段階的経路は §9 で中立的に整理する。本報告書は導入を推奨も否定もしない。</w:t>
      </w:r>
    </w:p>
    <w:p>
      <w:r>
        <w:pict>
          <v:rect style="width:0;height:1.5pt" o:hralign="center" o:hrstd="t" o:hr="t"/>
        </w:pict>
      </w:r>
    </w:p>
    <w:p>
      <w:pPr>
        <w:pStyle w:val="Heading2"/>
      </w:pPr>
      <w:bookmarkStart w:id="98" w:name="静的gwp100の構造的失敗なぜ既存ツールでは不十分だったか"/>
      <w:r>
        <w:t xml:space="preserve">1. 静的GWP100の構造的失敗——なぜ既存ツールでは不十分だったか</w:t>
      </w:r>
      <w:bookmarkEnd w:id="98"/>
    </w:p>
    <w:p>
      <w:pPr>
        <w:pStyle w:val="BlockText"/>
      </w:pPr>
      <w:r>
        <w:rPr>
          <w:b/>
        </w:rPr>
        <w:t xml:space="preserve">本節で分かること:</w:t>
      </w:r>
      <w:r>
        <w:t xml:space="preserve"> </w:t>
      </w:r>
      <w:r>
        <w:t xml:space="preserve">フランスが静的LCAを「使えない」と判断した科学的根拠。専門家委員会・省庁関係者がこの判断を理解するために不可欠な基礎論証。</w:t>
      </w:r>
    </w:p>
    <w:p>
      <w:pPr>
        <w:pStyle w:val="Heading3"/>
      </w:pPr>
      <w:bookmarkStart w:id="99" w:name="gwp100の前提と建築物への適用限界"/>
      <w:r>
        <w:t xml:space="preserve">1.1 GWP100の前提と建築物への適用限界</w:t>
      </w:r>
      <w:bookmarkEnd w:id="99"/>
    </w:p>
    <w:p>
      <w:pPr>
        <w:pStyle w:val="FirstParagraph"/>
      </w:pPr>
      <w:r>
        <w:t xml:space="preserve">GWP100（地球温暖化係数、100年時間地平）は、ある物質1kgを大気に放出したときの累積放射強制力（CRF: Cumulative Radiative Forcing）を基準物質（CO₂）のそれと比較した無次元指数である（IPCC, 2007）。</w:t>
      </w:r>
    </w:p>
    <w:p>
      <w:pPr>
        <w:pStyle w:val="BodyText"/>
      </w:pPr>
      <w:r>
        <w:rPr>
          <w:b/>
        </w:rPr>
        <w:t xml:space="preserve">GWP100の前提（製品評価では妥当）:</w:t>
      </w:r>
      <w:r>
        <w:t xml:space="preserve"> </w:t>
      </w:r>
      <w:r>
        <w:t xml:space="preserve">- 評価の「時間原点（t=0）」は排出時点で固定</w:t>
      </w:r>
      <w:r>
        <w:t xml:space="preserve"> </w:t>
      </w:r>
      <w:r>
        <w:t xml:space="preserve">- 異なる製品・工程の排出を同一時点の等価量として比較する</w:t>
      </w:r>
      <w:r>
        <w:t xml:space="preserve"> </w:t>
      </w:r>
      <w:r>
        <w:t xml:space="preserve">- 製品のライフサイクル内で排出と吸収のタイミングはほぼ等しいと仮定</w:t>
      </w:r>
    </w:p>
    <w:p>
      <w:pPr>
        <w:pStyle w:val="BodyText"/>
      </w:pPr>
      <w:r>
        <w:rPr>
          <w:b/>
        </w:rPr>
        <w:t xml:space="preserve">建築物ライフサイクル評価への適用で生じる問題:</w:t>
      </w:r>
      <w:r>
        <w:br/>
      </w:r>
      <w:r>
        <w:t xml:space="preserve">建物には明確な「吸収時点」と「排出時点」の</w:t>
      </w:r>
      <w:r>
        <w:rPr>
          <w:b/>
        </w:rPr>
        <w:t xml:space="preserve">時間的非対称性</w:t>
      </w:r>
      <w:r>
        <w:t xml:space="preserve">が存在する。木材建材の場合：</w:t>
      </w:r>
    </w:p>
    <w:p>
      <w:pPr>
        <w:pStyle w:val="SourceCode"/>
      </w:pPr>
      <w:r>
        <w:rPr>
          <w:rStyle w:val="VerbatimChar"/>
        </w:rPr>
        <w:t xml:space="preserve">t = 0年（建設時）: 木材が大気から固定したCO₂を建物として封存  →  吸収として計上</w:t>
      </w:r>
      <w:r>
        <w:br/>
      </w:r>
      <w:r>
        <w:rPr>
          <w:rStyle w:val="VerbatimChar"/>
        </w:rPr>
        <w:t xml:space="preserve">t = 50年（解体時）: 封存していたCO₂が解体・焼却で大気に放出  →  排出として計上</w:t>
      </w:r>
    </w:p>
    <w:p>
      <w:pPr>
        <w:pStyle w:val="FirstParagraph"/>
      </w:pPr>
      <w:r>
        <w:t xml:space="preserve">静的GWP100はこの50年の差を無視し、「吸収1kgCO₂ + 排出1kgCO₂ = 正味ゼロ」と評価する。</w:t>
      </w:r>
      <w:r>
        <w:br/>
      </w:r>
      <w:r>
        <w:rPr>
          <w:b/>
        </w:rPr>
        <w:t xml:space="preserve">すなわち、静的LCAにおいて木材はコンクリートと等しく「炭素的に中立」と評価される。</w:t>
      </w:r>
    </w:p>
    <w:p>
      <w:pPr>
        <w:pStyle w:val="BodyText"/>
      </w:pPr>
      <w:r>
        <w:t xml:space="preserve">しかし、これは物理的事実と一致しない。</w:t>
      </w:r>
    </w:p>
    <w:p>
      <w:pPr>
        <w:pStyle w:val="Heading3"/>
      </w:pPr>
      <w:bookmarkStart w:id="100" w:name="物理的現実時間的変位が気候影響を変える"/>
      <w:r>
        <w:t xml:space="preserve">1.2 物理的現実：時間的変位が気候影響を変える</w:t>
      </w:r>
      <w:bookmarkEnd w:id="100"/>
    </w:p>
    <w:p>
      <w:pPr>
        <w:pStyle w:val="FirstParagraph"/>
      </w:pPr>
      <w:r>
        <w:t xml:space="preserve">50年後に放出された1kgCO₂は、今日放出した1kgCO₂と同じ気候影響をもたらさない。理由はIPCC AR4 Bern2.5CCモデルで定量化されている：</w:t>
      </w:r>
    </w:p>
    <w:p>
      <w:pPr>
        <w:pStyle w:val="BodyText"/>
      </w:pPr>
      <m:oMathPara>
        <m:oMathParaPr>
          <m:jc m:val="center"/>
        </m:oMathParaPr>
        <m:oMath>
          <m:r>
            <m:t>D</m:t>
          </m:r>
          <m:r>
            <m:t>C</m:t>
          </m:r>
          <m:r>
            <m:t>F</m:t>
          </m:r>
          <m:r>
            <m:t>(</m:t>
          </m:r>
          <m:sSub>
            <m:e>
              <m:r>
                <m:t>t</m:t>
              </m:r>
            </m:e>
            <m:sub>
              <m:r>
                <m:t>i</m:t>
              </m:r>
            </m:sub>
          </m:sSub>
          <m:r>
            <m:t>,</m:t>
          </m:r>
          <m:r>
            <m:t>D</m:t>
          </m:r>
          <m:r>
            <m:t>O</m:t>
          </m:r>
          <m:r>
            <m:t>)</m:t>
          </m:r>
          <m:r>
            <m:t>=</m:t>
          </m:r>
          <m:f>
            <m:fPr>
              <m:type m:val="bar"/>
            </m:fPr>
            <m:num>
              <m:r>
                <m:t>C</m:t>
              </m:r>
              <m:r>
                <m:t>R</m:t>
              </m:r>
              <m:r>
                <m:t>F</m:t>
              </m:r>
              <m:r>
                <m:t>(</m:t>
              </m:r>
              <m:sSub>
                <m:e>
                  <m:r>
                    <m:t>t</m:t>
                  </m:r>
                </m:e>
                <m:sub>
                  <m:r>
                    <m:t>i</m:t>
                  </m:r>
                </m:sub>
              </m:sSub>
              <m:r>
                <m:t>,</m:t>
              </m:r>
              <m:r>
                <m:t>D</m:t>
              </m:r>
              <m:r>
                <m:t>O</m:t>
              </m:r>
              <m:r>
                <m:t>)</m:t>
              </m:r>
            </m:num>
            <m:den>
              <m:r>
                <m:t>C</m:t>
              </m:r>
              <m:r>
                <m:t>R</m:t>
              </m:r>
              <m:r>
                <m:t>F</m:t>
              </m:r>
              <m:r>
                <m:t>(</m:t>
              </m:r>
              <m:r>
                <m:t>0</m:t>
              </m:r>
              <m:r>
                <m:t>,</m:t>
              </m:r>
              <m:r>
                <m:t>D</m:t>
              </m:r>
              <m:r>
                <m:t>O</m:t>
              </m:r>
              <m:r>
                <m:t>)</m:t>
              </m:r>
            </m:den>
          </m:f>
        </m:oMath>
      </m:oMathPara>
    </w:p>
    <w:p>
      <w:pPr>
        <w:pStyle w:val="FirstParagraph"/>
      </w:pPr>
      <w:r>
        <w:t xml:space="preserve">ここで</w:t>
      </w:r>
      <w:r>
        <w:t xml:space="preserve"> </w:t>
      </w:r>
      <m:oMath>
        <m:r>
          <m:t>C</m:t>
        </m:r>
        <m:r>
          <m:t>R</m:t>
        </m:r>
        <m:r>
          <m:t>F</m:t>
        </m:r>
        <m:r>
          <m:t>(</m:t>
        </m:r>
        <m:sSub>
          <m:e>
            <m:r>
              <m:t>t</m:t>
            </m:r>
          </m:e>
          <m:sub>
            <m:r>
              <m:t>i</m:t>
            </m:r>
          </m:sub>
        </m:sSub>
        <m:r>
          <m:t>,</m:t>
        </m:r>
        <m:r>
          <m:t>D</m:t>
        </m:r>
        <m:r>
          <m:t>O</m:t>
        </m:r>
        <m:r>
          <m:t>)</m:t>
        </m:r>
      </m:oMath>
      <w:r>
        <w:t xml:space="preserve"> </w:t>
      </w:r>
      <w:r>
        <w:t xml:space="preserve">は時刻</w:t>
      </w:r>
      <w:r>
        <w:t xml:space="preserve"> </w:t>
      </w:r>
      <m:oMath>
        <m:sSub>
          <m:e>
            <m:r>
              <m:t>t</m:t>
            </m:r>
          </m:e>
          <m:sub>
            <m:r>
              <m:t>i</m:t>
            </m:r>
          </m:sub>
        </m:sSub>
      </m:oMath>
      <w:r>
        <w:t xml:space="preserve"> </w:t>
      </w:r>
      <w:r>
        <w:t xml:space="preserve">に排出した1kgCO₂が与える累積放射強制力であり、これは将来の海洋吸収・生物圏吸収が寄与するため、</w:t>
      </w:r>
      <m:oMath>
        <m:sSub>
          <m:e>
            <m:r>
              <m:t>t</m:t>
            </m:r>
          </m:e>
          <m:sub>
            <m:r>
              <m:t>i</m:t>
            </m:r>
          </m:sub>
        </m:sSub>
      </m:oMath>
      <w:r>
        <w:t xml:space="preserve"> </w:t>
      </w:r>
      <w:r>
        <w:t xml:space="preserve">が大きいほど小さくなる。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排出時点</w:t>
            </w:r>
            <w:r>
              <w:t xml:space="preserve"> </w:t>
            </w:r>
            <m:oMath>
              <m:sSub>
                <m:e>
                  <m:r>
                    <m:t>t</m:t>
                  </m:r>
                </m:e>
                <m:sub>
                  <m:r>
                    <m:t>i</m:t>
                  </m:r>
                </m:sub>
              </m:sSub>
            </m:oMath>
          </w:p>
        </w:tc>
        <w:tc>
          <w:tcPr>
            <w:tcBorders>
              <w:bottom w:val="single"/>
            </w:tcBorders>
            <w:vAlign w:val="bottom"/>
          </w:tcPr>
          <w:p>
            <w:pPr>
              <w:pStyle w:val="Compact"/>
              <w:jc w:val="left"/>
            </w:pPr>
            <w:r>
              <w:t xml:space="preserve">RE2020重み係数（</w:t>
            </w:r>
            <m:oMath>
              <m:r>
                <m:t>1</m:t>
              </m:r>
              <m:r>
                <m:t>−</m:t>
              </m:r>
              <m:r>
                <m:t>0.00842</m:t>
              </m:r>
              <m:r>
                <m:t>t</m:t>
              </m:r>
            </m:oMath>
            <w:r>
              <w:t xml:space="preserve">）</w:t>
            </w:r>
          </w:p>
        </w:tc>
        <w:tc>
          <w:tcPr>
            <w:tcBorders>
              <w:bottom w:val="single"/>
            </w:tcBorders>
            <w:vAlign w:val="bottom"/>
          </w:tcPr>
          <w:p>
            <w:pPr>
              <w:pStyle w:val="Compact"/>
              <w:jc w:val="left"/>
            </w:pPr>
            <w:r>
              <w:t xml:space="preserve">気候影響の重み</w:t>
            </w:r>
          </w:p>
        </w:tc>
      </w:tr>
      <w:tr>
        <w:tc>
          <w:p>
            <w:pPr>
              <w:pStyle w:val="Compact"/>
              <w:jc w:val="left"/>
            </w:pPr>
            <w:r>
              <w:t xml:space="preserve">t = 0年（今日）</w:t>
            </w:r>
          </w:p>
        </w:tc>
        <w:tc>
          <w:p>
            <w:pPr>
              <w:pStyle w:val="Compact"/>
              <w:jc w:val="left"/>
            </w:pPr>
            <w:r>
              <w:t xml:space="preserve">1.000</w:t>
            </w:r>
          </w:p>
        </w:tc>
        <w:tc>
          <w:p>
            <w:pPr>
              <w:pStyle w:val="Compact"/>
              <w:jc w:val="left"/>
            </w:pPr>
            <w:r>
              <w:t xml:space="preserve">基準（100%）</w:t>
            </w:r>
          </w:p>
        </w:tc>
      </w:tr>
      <w:tr>
        <w:tc>
          <w:p>
            <w:pPr>
              <w:pStyle w:val="Compact"/>
              <w:jc w:val="left"/>
            </w:pPr>
            <w:r>
              <w:t xml:space="preserve">t = 25年</w:t>
            </w:r>
          </w:p>
        </w:tc>
        <w:tc>
          <w:p>
            <w:pPr>
              <w:pStyle w:val="Compact"/>
              <w:jc w:val="left"/>
            </w:pPr>
            <w:r>
              <w:t xml:space="preserve">0.790</w:t>
            </w:r>
          </w:p>
        </w:tc>
        <w:tc>
          <w:p>
            <w:pPr>
              <w:pStyle w:val="Compact"/>
              <w:jc w:val="left"/>
            </w:pPr>
            <w:r>
              <w:t xml:space="preserve">約79%</w:t>
            </w:r>
          </w:p>
        </w:tc>
      </w:tr>
      <w:tr>
        <w:tc>
          <w:p>
            <w:pPr>
              <w:pStyle w:val="Compact"/>
              <w:jc w:val="left"/>
            </w:pPr>
            <w:r>
              <w:t xml:space="preserve">t = 50年（設計寿命）</w:t>
            </w:r>
          </w:p>
        </w:tc>
        <w:tc>
          <w:p>
            <w:pPr>
              <w:pStyle w:val="Compact"/>
              <w:jc w:val="left"/>
            </w:pPr>
            <w:r>
              <w:t xml:space="preserve">0.578</w:t>
            </w:r>
          </w:p>
        </w:tc>
        <w:tc>
          <w:p>
            <w:pPr>
              <w:pStyle w:val="Compact"/>
              <w:jc w:val="left"/>
            </w:pPr>
            <w:r>
              <w:t xml:space="preserve">約58%（＝</w:t>
            </w:r>
            <w:r>
              <w:rPr>
                <w:b/>
              </w:rPr>
              <w:t xml:space="preserve">42%の影響減</w:t>
            </w:r>
            <w:r>
              <w:t xml:space="preserve">）</w:t>
            </w:r>
          </w:p>
        </w:tc>
      </w:tr>
    </w:tbl>
    <w:p>
      <w:pPr>
        <w:pStyle w:val="BodyText"/>
      </w:pPr>
      <w:r>
        <w:t xml:space="preserve">（RE2020公式係数は排出年の一次関数</w:t>
      </w:r>
      <w:r>
        <w:t xml:space="preserve"> </w:t>
      </w:r>
      <m:oMath>
        <m:r>
          <m:t>1</m:t>
        </m:r>
        <m:r>
          <m:t>−</m:t>
        </m:r>
        <m:r>
          <m:t>0.00842</m:t>
        </m:r>
        <m:r>
          <m:t>t</m:t>
        </m:r>
      </m:oMath>
      <w:r>
        <w:t xml:space="preserve">、t=50で0.578〔Arrêté 2021第11条; Cerema, 2022〕。なお§5.2で述べる通り、この58%という重みは「正しい値より木材に有利な方向に約25〜35%の過大評価」を含むとの指摘がある〔Ventura, 2022; Univ Gustave Eiffel〕）</w:t>
      </w:r>
    </w:p>
    <w:p>
      <w:pPr>
        <w:pStyle w:val="Heading3"/>
      </w:pPr>
      <w:bookmarkStart w:id="101" w:name="測定ツールの失敗が設計シグナルの失敗を引き起こす"/>
      <w:r>
        <w:t xml:space="preserve">1.3 測定ツールの失敗が設計シグナルの失敗を引き起こす</w:t>
      </w:r>
      <w:bookmarkEnd w:id="101"/>
    </w:p>
    <w:p>
      <w:pPr>
        <w:pStyle w:val="FirstParagraph"/>
      </w:pPr>
      <w:r>
        <w:t xml:space="preserve">木材建材（CLT）を静的LCAと動的LCAで評価すると：</w:t>
      </w:r>
    </w:p>
    <w:p>
      <w:pPr>
        <w:pStyle w:val="SourceCode"/>
      </w:pPr>
      <w:r>
        <w:rPr>
          <w:rStyle w:val="VerbatimChar"/>
        </w:rPr>
        <w:t xml:space="preserve">【静的LCA（GWP100）】  </w:t>
      </w:r>
      <w:r>
        <w:br/>
      </w:r>
      <w:r>
        <w:rPr>
          <w:rStyle w:val="VerbatimChar"/>
        </w:rPr>
        <w:t xml:space="preserve">  A1-A3（建設、t=0）: バイオジェニック炭素固定 = −1.0 kgCO₂/kgC  </w:t>
      </w:r>
      <w:r>
        <w:br/>
      </w:r>
      <w:r>
        <w:rPr>
          <w:rStyle w:val="VerbatimChar"/>
        </w:rPr>
        <w:t xml:space="preserve">  C4（解体、t=50年）: バイオジェニック炭素放出 = +1.0 kgCO₂/kgC  </w:t>
      </w:r>
      <w:r>
        <w:br/>
      </w:r>
      <w:r>
        <w:rPr>
          <w:rStyle w:val="VerbatimChar"/>
        </w:rPr>
        <w:t xml:space="preserve">  ─────────────────────────────────────────────────────────────────  </w:t>
      </w:r>
      <w:r>
        <w:br/>
      </w:r>
      <w:r>
        <w:rPr>
          <w:rStyle w:val="VerbatimChar"/>
        </w:rPr>
        <w:t xml:space="preserve">  正味合計 = 0.0 kgCO₂/kgC  ← 木材 ≡ コンクリート（どちらも "中立"）</w:t>
      </w:r>
      <w:r>
        <w:br/>
      </w:r>
      <w:r>
        <w:br/>
      </w:r>
      <w:r>
        <w:rPr>
          <w:rStyle w:val="VerbatimChar"/>
        </w:rPr>
        <w:t xml:space="preserve">【動的LCA（RE2020）】  </w:t>
      </w:r>
      <w:r>
        <w:br/>
      </w:r>
      <w:r>
        <w:rPr>
          <w:rStyle w:val="VerbatimChar"/>
        </w:rPr>
        <w:t xml:space="preserve">  A1-A3（建設、t=0）: DCF(0) = 1.0  → 計上 −1.0 kgCO₂/kgC  </w:t>
      </w:r>
      <w:r>
        <w:br/>
      </w:r>
      <w:r>
        <w:rPr>
          <w:rStyle w:val="VerbatimChar"/>
        </w:rPr>
        <w:t xml:space="preserve">  C4（解体、t=50年）: DCF(50) = 0.58 → 計上 +0.58 kgCO₂/kgC  </w:t>
      </w:r>
      <w:r>
        <w:br/>
      </w:r>
      <w:r>
        <w:rPr>
          <w:rStyle w:val="VerbatimChar"/>
        </w:rPr>
        <w:t xml:space="preserve">  ─────────────────────────────────────────────────────────────────  </w:t>
      </w:r>
      <w:r>
        <w:br/>
      </w:r>
      <w:r>
        <w:rPr>
          <w:rStyle w:val="VerbatimChar"/>
        </w:rPr>
        <w:t xml:space="preserve">  正味合計 = −0.42 kgCO₂/kgC  ← 木材はコンクリートより 0.42単位 有利</w:t>
      </w:r>
    </w:p>
    <w:p>
      <w:pPr>
        <w:pStyle w:val="FirstParagraph"/>
      </w:pPr>
      <w:r>
        <w:t xml:space="preserve">これを建材レベルで見ると（第1編報告書 §4.7）：</w:t>
      </w:r>
    </w:p>
    <w:tbl>
      <w:tblPr>
        <w:tblStyle w:val="Table"/>
        <w:tblW w:type="pct" w:w="0.0"/>
        <w:tblLook w:firstRow="1"/>
      </w:tblPr>
      <w:tblGrid/>
      <w:tr>
        <w:trPr>
          <w:cnfStyle w:firstRow="1"/>
        </w:trPr>
        <w:tc>
          <w:tcPr>
            <w:tcBorders>
              <w:bottom w:val="single"/>
            </w:tcBorders>
            <w:vAlign w:val="bottom"/>
          </w:tcPr>
          <w:p>
            <w:pPr>
              <w:pStyle w:val="Compact"/>
              <w:jc w:val="left"/>
            </w:pPr>
            <w:r>
              <w:t xml:space="preserve">建材</w:t>
            </w:r>
          </w:p>
        </w:tc>
        <w:tc>
          <w:tcPr>
            <w:tcBorders>
              <w:bottom w:val="single"/>
            </w:tcBorders>
            <w:vAlign w:val="bottom"/>
          </w:tcPr>
          <w:p>
            <w:pPr>
              <w:pStyle w:val="Compact"/>
              <w:jc w:val="left"/>
            </w:pPr>
            <w:r>
              <w:t xml:space="preserve">静的LCA [kgCO₂eq/m³]</w:t>
            </w:r>
          </w:p>
        </w:tc>
        <w:tc>
          <w:tcPr>
            <w:tcBorders>
              <w:bottom w:val="single"/>
            </w:tcBorders>
            <w:vAlign w:val="bottom"/>
          </w:tcPr>
          <w:p>
            <w:pPr>
              <w:pStyle w:val="Compact"/>
              <w:jc w:val="left"/>
            </w:pPr>
            <w:r>
              <w:t xml:space="preserve">動的LCA [kgCO₂eq/m³]</w:t>
            </w:r>
          </w:p>
        </w:tc>
        <w:tc>
          <w:tcPr>
            <w:tcBorders>
              <w:bottom w:val="single"/>
            </w:tcBorders>
            <w:vAlign w:val="bottom"/>
          </w:tcPr>
          <w:p>
            <w:pPr>
              <w:pStyle w:val="Compact"/>
              <w:jc w:val="left"/>
            </w:pPr>
            <w:r>
              <w:t xml:space="preserve">評価の変化</w:t>
            </w:r>
          </w:p>
        </w:tc>
      </w:tr>
      <w:tr>
        <w:tc>
          <w:p>
            <w:pPr>
              <w:pStyle w:val="Compact"/>
              <w:jc w:val="left"/>
            </w:pPr>
            <w:r>
              <w:rPr>
                <w:b/>
              </w:rPr>
              <w:t xml:space="preserve">CLT（直交集成板）</w:t>
            </w:r>
          </w:p>
        </w:tc>
        <w:tc>
          <w:p>
            <w:pPr>
              <w:pStyle w:val="Compact"/>
              <w:jc w:val="left"/>
            </w:pPr>
            <w:r>
              <w:t xml:space="preserve">+98（排出）</w:t>
            </w:r>
          </w:p>
        </w:tc>
        <w:tc>
          <w:p>
            <w:pPr>
              <w:pStyle w:val="Compact"/>
              <w:jc w:val="left"/>
            </w:pPr>
            <w:r>
              <w:rPr>
                <w:b/>
              </w:rPr>
              <w:t xml:space="preserve">−171（吸収）</w:t>
            </w:r>
          </w:p>
        </w:tc>
        <w:tc>
          <w:p>
            <w:pPr>
              <w:pStyle w:val="Compact"/>
              <w:jc w:val="left"/>
            </w:pPr>
            <w:r>
              <w:rPr>
                <w:b/>
              </w:rPr>
              <w:t xml:space="preserve">−269の逆転</w:t>
            </w:r>
          </w:p>
        </w:tc>
      </w:tr>
      <w:tr>
        <w:tc>
          <w:p>
            <w:pPr>
              <w:pStyle w:val="Compact"/>
              <w:jc w:val="left"/>
            </w:pPr>
            <w:r>
              <w:rPr>
                <w:b/>
              </w:rPr>
              <w:t xml:space="preserve">製材</w:t>
            </w:r>
          </w:p>
        </w:tc>
        <w:tc>
          <w:p>
            <w:pPr>
              <w:pStyle w:val="Compact"/>
              <w:jc w:val="left"/>
            </w:pPr>
            <w:r>
              <w:t xml:space="preserve">+65（排出）</w:t>
            </w:r>
          </w:p>
        </w:tc>
        <w:tc>
          <w:p>
            <w:pPr>
              <w:pStyle w:val="Compact"/>
              <w:jc w:val="left"/>
            </w:pPr>
            <w:r>
              <w:rPr>
                <w:b/>
              </w:rPr>
              <w:t xml:space="preserve">−115（吸収）</w:t>
            </w:r>
          </w:p>
        </w:tc>
        <w:tc>
          <w:p>
            <w:pPr>
              <w:pStyle w:val="Compact"/>
              <w:jc w:val="left"/>
            </w:pPr>
            <w:r>
              <w:t xml:space="preserve">逆転</w:t>
            </w:r>
          </w:p>
        </w:tc>
      </w:tr>
      <w:tr>
        <w:tc>
          <w:p>
            <w:pPr>
              <w:pStyle w:val="Compact"/>
              <w:jc w:val="left"/>
            </w:pPr>
            <w:r>
              <w:t xml:space="preserve">RC造コンクリート</w:t>
            </w:r>
          </w:p>
        </w:tc>
        <w:tc>
          <w:p>
            <w:pPr>
              <w:pStyle w:val="Compact"/>
              <w:jc w:val="left"/>
            </w:pPr>
            <w:r>
              <w:t xml:space="preserve">+300前後</w:t>
            </w:r>
          </w:p>
        </w:tc>
        <w:tc>
          <w:p>
            <w:pPr>
              <w:pStyle w:val="Compact"/>
              <w:jc w:val="left"/>
            </w:pPr>
            <w:r>
              <w:t xml:space="preserve">+295前後</w:t>
            </w:r>
          </w:p>
        </w:tc>
        <w:tc>
          <w:p>
            <w:pPr>
              <w:pStyle w:val="Compact"/>
              <w:jc w:val="left"/>
            </w:pPr>
            <w:r>
              <w:rPr>
                <w:b/>
              </w:rPr>
              <w:t xml:space="preserve">ほぼ不変</w:t>
            </w:r>
          </w:p>
        </w:tc>
      </w:tr>
      <w:tr>
        <w:tc>
          <w:p>
            <w:pPr>
              <w:pStyle w:val="Compact"/>
              <w:jc w:val="left"/>
            </w:pPr>
            <w:r>
              <w:t xml:space="preserve">構造用鋼材</w:t>
            </w:r>
          </w:p>
        </w:tc>
        <w:tc>
          <w:p>
            <w:pPr>
              <w:pStyle w:val="Compact"/>
              <w:jc w:val="left"/>
            </w:pPr>
            <w:r>
              <w:t xml:space="preserve">+550前後</w:t>
            </w:r>
          </w:p>
        </w:tc>
        <w:tc>
          <w:p>
            <w:pPr>
              <w:pStyle w:val="Compact"/>
              <w:jc w:val="left"/>
            </w:pPr>
            <w:r>
              <w:t xml:space="preserve">+548前後</w:t>
            </w:r>
          </w:p>
        </w:tc>
        <w:tc>
          <w:p>
            <w:pPr>
              <w:pStyle w:val="Compact"/>
              <w:jc w:val="left"/>
            </w:pPr>
            <w:r>
              <w:rPr>
                <w:b/>
              </w:rPr>
              <w:t xml:space="preserve">ほぼ不変</w:t>
            </w:r>
          </w:p>
        </w:tc>
      </w:tr>
    </w:tbl>
    <w:p>
      <w:pPr>
        <w:pStyle w:val="BodyText"/>
      </w:pPr>
      <w:r>
        <w:rPr>
          <w:b/>
        </w:rPr>
        <w:t xml:space="preserve">政策的含意:</w:t>
      </w:r>
      <w:r>
        <w:t xml:space="preserve"> </w:t>
      </w:r>
      <w:r>
        <w:t xml:space="preserve">静的LCAを使い続ける限り、設計者は木材を選んでもコンクリートを選んでも「同じ」という誤ったシグナルを受け取る。動的LCAへの移行は、実在する気候便益を設計決定に正確に反映させるための</w:t>
      </w:r>
      <w:r>
        <w:rPr>
          <w:b/>
        </w:rPr>
        <w:t xml:space="preserve">測定ツールの修正</w:t>
      </w:r>
      <w:r>
        <w:t xml:space="preserve">である。</w:t>
      </w:r>
    </w:p>
    <w:p>
      <w:r>
        <w:pict>
          <v:rect style="width:0;height:1.5pt" o:hralign="center" o:hrstd="t" o:hr="t"/>
        </w:pict>
      </w:r>
    </w:p>
    <w:p>
      <w:pPr>
        <w:pStyle w:val="Heading2"/>
      </w:pPr>
      <w:bookmarkStart w:id="102" w:name="なぜ今2022年だったのか4条件の収束"/>
      <w:r>
        <w:t xml:space="preserve">2. なぜ今（2022年）だったのか——4条件の収束</w:t>
      </w:r>
      <w:bookmarkEnd w:id="102"/>
    </w:p>
    <w:p>
      <w:pPr>
        <w:pStyle w:val="BlockText"/>
      </w:pPr>
      <w:r>
        <w:rPr>
          <w:b/>
        </w:rPr>
        <w:t xml:space="preserve">本節で分かること:</w:t>
      </w:r>
      <w:r>
        <w:t xml:space="preserve"> </w:t>
      </w:r>
      <w:r>
        <w:t xml:space="preserve">「動的LCA規制化は理論的には2009年時点で可能だったが、なぜ2022年になって初めて実現したか」という制度的・実務的条件の分析。</w:t>
      </w:r>
    </w:p>
    <w:p>
      <w:pPr>
        <w:pStyle w:val="Heading3"/>
      </w:pPr>
      <w:bookmarkStart w:id="103" w:name="規制化の4条件"/>
      <w:r>
        <w:t xml:space="preserve">2.1 規制化の4条件</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条件</w:t>
            </w:r>
          </w:p>
        </w:tc>
        <w:tc>
          <w:tcPr>
            <w:tcBorders>
              <w:bottom w:val="single"/>
            </w:tcBorders>
            <w:vAlign w:val="bottom"/>
          </w:tcPr>
          <w:p>
            <w:pPr>
              <w:pStyle w:val="Compact"/>
              <w:jc w:val="left"/>
            </w:pPr>
            <w:r>
              <w:t xml:space="preserve">必要な状態</w:t>
            </w:r>
          </w:p>
        </w:tc>
        <w:tc>
          <w:tcPr>
            <w:tcBorders>
              <w:bottom w:val="single"/>
            </w:tcBorders>
            <w:vAlign w:val="bottom"/>
          </w:tcPr>
          <w:p>
            <w:pPr>
              <w:pStyle w:val="Compact"/>
              <w:jc w:val="left"/>
            </w:pPr>
            <w:r>
              <w:t xml:space="preserve">フランスの達成時期</w:t>
            </w:r>
          </w:p>
        </w:tc>
      </w:tr>
      <w:tr>
        <w:tc>
          <w:p>
            <w:pPr>
              <w:pStyle w:val="Compact"/>
              <w:jc w:val="left"/>
            </w:pPr>
            <w:r>
              <w:rPr>
                <w:b/>
              </w:rPr>
              <w:t xml:space="preserve">科学的基盤</w:t>
            </w:r>
          </w:p>
        </w:tc>
        <w:tc>
          <w:p>
            <w:pPr>
              <w:pStyle w:val="Compact"/>
              <w:jc w:val="left"/>
            </w:pPr>
            <w:r>
              <w:t xml:space="preserve">査読を経た動的LCA手法の確立</w:t>
            </w:r>
          </w:p>
        </w:tc>
        <w:tc>
          <w:p>
            <w:pPr>
              <w:pStyle w:val="Compact"/>
              <w:jc w:val="left"/>
            </w:pPr>
            <w:r>
              <w:t xml:space="preserve">2009年（Benoist）・2010年（Levasseur）の研究を基礎に2010年代後半に実務化</w:t>
            </w:r>
          </w:p>
        </w:tc>
      </w:tr>
      <w:tr>
        <w:tc>
          <w:p>
            <w:pPr>
              <w:pStyle w:val="Compact"/>
              <w:jc w:val="left"/>
            </w:pPr>
            <w:r>
              <w:rPr>
                <w:b/>
              </w:rPr>
              <w:t xml:space="preserve">データ基盤</w:t>
            </w:r>
          </w:p>
        </w:tc>
        <w:tc>
          <w:p>
            <w:pPr>
              <w:pStyle w:val="Compact"/>
              <w:jc w:val="left"/>
            </w:pPr>
            <w:r>
              <w:t xml:space="preserve">十分なFDES/EPDカバレッジ</w:t>
            </w:r>
          </w:p>
        </w:tc>
        <w:tc>
          <w:p>
            <w:pPr>
              <w:pStyle w:val="Compact"/>
              <w:jc w:val="left"/>
            </w:pPr>
            <w:r>
              <w:t xml:space="preserve">E+C-プログラム（2016-2019）で整備が進む</w:t>
            </w:r>
          </w:p>
        </w:tc>
      </w:tr>
      <w:tr>
        <w:tc>
          <w:p>
            <w:pPr>
              <w:pStyle w:val="Compact"/>
              <w:jc w:val="left"/>
            </w:pPr>
            <w:r>
              <w:rPr>
                <w:b/>
              </w:rPr>
              <w:t xml:space="preserve">計算ツール</w:t>
            </w:r>
          </w:p>
        </w:tc>
        <w:tc>
          <w:p>
            <w:pPr>
              <w:pStyle w:val="Compact"/>
              <w:jc w:val="left"/>
            </w:pPr>
            <w:r>
              <w:t xml:space="preserve">実務者が使えるソフトウェア</w:t>
            </w:r>
          </w:p>
        </w:tc>
        <w:tc>
          <w:p>
            <w:pPr>
              <w:pStyle w:val="Compact"/>
              <w:jc w:val="left"/>
            </w:pPr>
            <w:r>
              <w:t xml:space="preserve">Elodie（CSTB）が動的LCA計算を自動化（2018〜）</w:t>
            </w:r>
          </w:p>
        </w:tc>
      </w:tr>
      <w:tr>
        <w:tc>
          <w:p>
            <w:pPr>
              <w:pStyle w:val="Compact"/>
              <w:jc w:val="left"/>
            </w:pPr>
            <w:r>
              <w:rPr>
                <w:b/>
              </w:rPr>
              <w:t xml:space="preserve">政治的正当性</w:t>
            </w:r>
          </w:p>
        </w:tc>
        <w:tc>
          <w:p>
            <w:pPr>
              <w:pStyle w:val="Compact"/>
              <w:jc w:val="left"/>
            </w:pPr>
            <w:r>
              <w:t xml:space="preserve">産業界・規制当局の合意</w:t>
            </w:r>
          </w:p>
        </w:tc>
        <w:tc>
          <w:p>
            <w:pPr>
              <w:pStyle w:val="Compact"/>
              <w:jc w:val="left"/>
            </w:pPr>
            <w:r>
              <w:t xml:space="preserve">E+C-実証データ＋FCBA支持＋EUグリーンディール整合</w:t>
            </w:r>
          </w:p>
        </w:tc>
      </w:tr>
    </w:tbl>
    <w:p>
      <w:pPr>
        <w:pStyle w:val="BodyText"/>
      </w:pPr>
      <w:r>
        <w:rPr>
          <w:b/>
        </w:rPr>
        <w:t xml:space="preserve">4条件が全て揃ったのが2021〜2022年。これが「今」の理由である。</w:t>
      </w:r>
    </w:p>
    <w:p>
      <w:pPr>
        <w:pStyle w:val="Heading3"/>
      </w:pPr>
      <w:bookmarkStart w:id="104" w:name="ec-プログラム証拠に基づく規制化の先例"/>
      <w:r>
        <w:t xml:space="preserve">2.2 E+C-プログラム：証拠に基づく規制化の先例</w:t>
      </w:r>
      <w:bookmarkEnd w:id="104"/>
    </w:p>
    <w:p>
      <w:pPr>
        <w:pStyle w:val="FirstParagraph"/>
      </w:pPr>
      <w:r>
        <w:t xml:space="preserve">2016〜2021年の実証プログラム「E+C-（Énergie Positive et Réduction Carbone）」は、RE2020にとって単なる「予備的試行」ではなく、</w:t>
      </w:r>
      <w:r>
        <w:rPr>
          <w:b/>
        </w:rPr>
        <w:t xml:space="preserve">規制設計のエビデンスベースを構築する計画的プロセス</w:t>
      </w:r>
      <w:r>
        <w:t xml:space="preserve">であった。</w:t>
      </w:r>
    </w:p>
    <w:p>
      <w:pPr>
        <w:numPr>
          <w:ilvl w:val="0"/>
          <w:numId w:val="1022"/>
        </w:numPr>
        <w:pStyle w:val="Compact"/>
      </w:pPr>
      <w:r>
        <w:rPr>
          <w:b/>
        </w:rPr>
        <w:t xml:space="preserve">参加規模:</w:t>
      </w:r>
      <w:r>
        <w:t xml:space="preserve"> </w:t>
      </w:r>
      <w:r>
        <w:t xml:space="preserve">公開観測データベースに約830事業が登録（住宅中心、第三次産業含む。2016〜2021年累計）</w:t>
      </w:r>
    </w:p>
    <w:p>
      <w:pPr>
        <w:numPr>
          <w:ilvl w:val="0"/>
          <w:numId w:val="1022"/>
        </w:numPr>
        <w:pStyle w:val="Compact"/>
      </w:pPr>
      <w:r>
        <w:rPr>
          <w:b/>
        </w:rPr>
        <w:t xml:space="preserve">得られたデータ:</w:t>
      </w:r>
      <w:r>
        <w:t xml:space="preserve"> </w:t>
      </w:r>
      <w:r>
        <w:t xml:space="preserve">建物種別・気候ゾーン別の実際の</w:t>
      </w:r>
      <w:r>
        <w:t xml:space="preserve"> </w:t>
      </w:r>
      <m:oMath>
        <m:r>
          <m:t>I</m:t>
        </m:r>
        <m:r>
          <m:t>c</m:t>
        </m:r>
      </m:oMath>
      <w:r>
        <w:t xml:space="preserve"> </w:t>
      </w:r>
      <w:r>
        <w:t xml:space="preserve">値の分布</w:t>
      </w:r>
      <w:r>
        <w:br/>
      </w:r>
      <w:r>
        <w:t xml:space="preserve">→ これがフェーズ1 seuil値（住宅：640 kgCO₂eq/m²等）の根拠</w:t>
      </w:r>
    </w:p>
    <w:p>
      <w:pPr>
        <w:numPr>
          <w:ilvl w:val="0"/>
          <w:numId w:val="1022"/>
        </w:numPr>
        <w:pStyle w:val="Compact"/>
      </w:pPr>
      <w:r>
        <w:rPr>
          <w:b/>
        </w:rPr>
        <w:t xml:space="preserve">明らかになった課題:</w:t>
      </w:r>
      <w:r>
        <w:t xml:space="preserve"> </w:t>
      </w:r>
      <w:r>
        <w:t xml:space="preserve">FDESデータのカバレッジ不足、計算ツールの習熟コスト</w:t>
      </w:r>
    </w:p>
    <w:p>
      <w:pPr>
        <w:numPr>
          <w:ilvl w:val="0"/>
          <w:numId w:val="1022"/>
        </w:numPr>
        <w:pStyle w:val="Compact"/>
      </w:pPr>
      <w:r>
        <w:rPr>
          <w:b/>
        </w:rPr>
        <w:t xml:space="preserve">産業界の反応:</w:t>
      </w:r>
      <w:r>
        <w:t xml:space="preserve"> </w:t>
      </w:r>
      <w:r>
        <w:t xml:space="preserve">参加企業から「基準値の設定根拠が透明」との評価</w:t>
      </w:r>
    </w:p>
    <w:p>
      <w:pPr>
        <w:pStyle w:val="FirstParagraph"/>
      </w:pPr>
      <w:r>
        <w:t xml:space="preserve">E+C-がなければ、seuil値は根拠なき行政的数値に過ぎなかった。フランスはこの「10年の準備」を省略しなかった。</w:t>
      </w:r>
    </w:p>
    <w:p>
      <w:pPr>
        <w:pStyle w:val="Heading3"/>
      </w:pPr>
      <w:bookmarkStart w:id="105" w:name="年表15年の収束プロセス"/>
      <w:r>
        <w:t xml:space="preserve">2.3 年表：15年の収束プロセス</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年</w:t>
            </w:r>
          </w:p>
        </w:tc>
        <w:tc>
          <w:tcPr>
            <w:tcBorders>
              <w:bottom w:val="single"/>
            </w:tcBorders>
            <w:vAlign w:val="bottom"/>
          </w:tcPr>
          <w:p>
            <w:pPr>
              <w:pStyle w:val="Compact"/>
              <w:jc w:val="left"/>
            </w:pPr>
            <w:r>
              <w:t xml:space="preserve">科学側</w:t>
            </w:r>
          </w:p>
        </w:tc>
        <w:tc>
          <w:tcPr>
            <w:tcBorders>
              <w:bottom w:val="single"/>
            </w:tcBorders>
            <w:vAlign w:val="bottom"/>
          </w:tcPr>
          <w:p>
            <w:pPr>
              <w:pStyle w:val="Compact"/>
              <w:jc w:val="left"/>
            </w:pPr>
            <w:r>
              <w:t xml:space="preserve">政策側</w:t>
            </w:r>
          </w:p>
        </w:tc>
        <w:tc>
          <w:tcPr>
            <w:tcBorders>
              <w:bottom w:val="single"/>
            </w:tcBorders>
            <w:vAlign w:val="bottom"/>
          </w:tcPr>
          <w:p>
            <w:pPr>
              <w:pStyle w:val="Compact"/>
              <w:jc w:val="left"/>
            </w:pPr>
            <w:r>
              <w:t xml:space="preserve">産業側</w:t>
            </w:r>
          </w:p>
        </w:tc>
      </w:tr>
      <w:tr>
        <w:tc>
          <w:p>
            <w:pPr>
              <w:pStyle w:val="Compact"/>
              <w:jc w:val="left"/>
            </w:pPr>
            <w:r>
              <w:rPr>
                <w:b/>
              </w:rPr>
              <w:t xml:space="preserve">2007</w:t>
            </w:r>
          </w:p>
        </w:tc>
        <w:tc>
          <w:p>
            <w:pPr>
              <w:pStyle w:val="Compact"/>
              <w:jc w:val="left"/>
            </w:pPr>
            <w:r>
              <w:t xml:space="preserve">—</w:t>
            </w:r>
          </w:p>
        </w:tc>
        <w:tc>
          <w:p>
            <w:pPr>
              <w:pStyle w:val="Compact"/>
              <w:jc w:val="left"/>
            </w:pPr>
            <w:r>
              <w:t xml:space="preserve">グルネル環境会議（Grenelle de l’environnement）：炭素評価の政策課題化</w:t>
            </w:r>
          </w:p>
        </w:tc>
        <w:tc>
          <w:p>
            <w:pPr>
              <w:pStyle w:val="Compact"/>
              <w:jc w:val="left"/>
            </w:pPr>
            <w:r>
              <w:t xml:space="preserve">—</w:t>
            </w:r>
          </w:p>
        </w:tc>
      </w:tr>
      <w:tr>
        <w:tc>
          <w:p>
            <w:pPr>
              <w:pStyle w:val="Compact"/>
              <w:jc w:val="left"/>
            </w:pPr>
            <w:r>
              <w:rPr>
                <w:b/>
              </w:rPr>
              <w:t xml:space="preserve">2009</w:t>
            </w:r>
          </w:p>
        </w:tc>
        <w:tc>
          <w:p>
            <w:pPr>
              <w:pStyle w:val="Compact"/>
              <w:jc w:val="left"/>
            </w:pPr>
            <w:r>
              <w:rPr>
                <w:b/>
              </w:rPr>
              <w:t xml:space="preserve">Benoist博士論文</w:t>
            </w:r>
            <w:r>
              <w:t xml:space="preserve">: 動的LCA手法を提案（RE2020係数の学術的源流の一つとされる。要原典確認）</w:t>
            </w:r>
          </w:p>
        </w:tc>
        <w:tc>
          <w:p>
            <w:pPr>
              <w:pStyle w:val="Compact"/>
              <w:jc w:val="left"/>
            </w:pPr>
            <w:r>
              <w:t xml:space="preserve">—</w:t>
            </w:r>
          </w:p>
        </w:tc>
        <w:tc>
          <w:p>
            <w:pPr>
              <w:pStyle w:val="Compact"/>
              <w:jc w:val="left"/>
            </w:pPr>
            <w:r>
              <w:t xml:space="preserve">—</w:t>
            </w:r>
          </w:p>
        </w:tc>
      </w:tr>
      <w:tr>
        <w:tc>
          <w:p>
            <w:pPr>
              <w:pStyle w:val="Compact"/>
              <w:jc w:val="left"/>
            </w:pPr>
            <w:r>
              <w:rPr>
                <w:b/>
              </w:rPr>
              <w:t xml:space="preserve">2012</w:t>
            </w:r>
          </w:p>
        </w:tc>
        <w:tc>
          <w:p>
            <w:pPr>
              <w:pStyle w:val="Compact"/>
              <w:jc w:val="left"/>
            </w:pPr>
            <w:r>
              <w:t xml:space="preserve">—</w:t>
            </w:r>
          </w:p>
        </w:tc>
        <w:tc>
          <w:p>
            <w:pPr>
              <w:pStyle w:val="Compact"/>
              <w:jc w:val="left"/>
            </w:pPr>
            <w:r>
              <w:t xml:space="preserve">RT2012施行（エネルギーのみ、炭素は次世代課題）</w:t>
            </w:r>
          </w:p>
        </w:tc>
        <w:tc>
          <w:p>
            <w:pPr>
              <w:pStyle w:val="Compact"/>
              <w:jc w:val="left"/>
            </w:pPr>
            <w:r>
              <w:t xml:space="preserve">FCBA、静的LCAの限界をロビー活動で主張開始</w:t>
            </w:r>
          </w:p>
        </w:tc>
      </w:tr>
      <w:tr>
        <w:tc>
          <w:p>
            <w:pPr>
              <w:pStyle w:val="Compact"/>
              <w:jc w:val="left"/>
            </w:pPr>
            <w:r>
              <w:rPr>
                <w:b/>
              </w:rPr>
              <w:t xml:space="preserve">2015</w:t>
            </w:r>
          </w:p>
        </w:tc>
        <w:tc>
          <w:p>
            <w:pPr>
              <w:pStyle w:val="Compact"/>
              <w:jc w:val="left"/>
            </w:pPr>
            <w:r>
              <w:t xml:space="preserve">—</w:t>
            </w:r>
          </w:p>
        </w:tc>
        <w:tc>
          <w:p>
            <w:pPr>
              <w:pStyle w:val="Compact"/>
              <w:jc w:val="left"/>
            </w:pPr>
            <w:r>
              <w:rPr>
                <w:b/>
              </w:rPr>
              <w:t xml:space="preserve">パリ協定</w:t>
            </w:r>
            <w:r>
              <w:t xml:space="preserve">: 2050年炭素中立の法的確約</w:t>
            </w:r>
          </w:p>
        </w:tc>
        <w:tc>
          <w:p>
            <w:pPr>
              <w:pStyle w:val="Compact"/>
              <w:jc w:val="left"/>
            </w:pPr>
            <w:r>
              <w:t xml:space="preserve">—</w:t>
            </w:r>
          </w:p>
        </w:tc>
      </w:tr>
      <w:tr>
        <w:tc>
          <w:p>
            <w:pPr>
              <w:pStyle w:val="Compact"/>
              <w:jc w:val="left"/>
            </w:pPr>
            <w:r>
              <w:rPr>
                <w:b/>
              </w:rPr>
              <w:t xml:space="preserve">2016〜2021</w:t>
            </w:r>
          </w:p>
        </w:tc>
        <w:tc>
          <w:p>
            <w:pPr>
              <w:pStyle w:val="Compact"/>
              <w:jc w:val="left"/>
            </w:pPr>
            <w:r>
              <w:t xml:space="preserve">—</w:t>
            </w:r>
          </w:p>
        </w:tc>
        <w:tc>
          <w:p>
            <w:pPr>
              <w:pStyle w:val="Compact"/>
              <w:jc w:val="left"/>
            </w:pPr>
            <w:r>
              <w:rPr>
                <w:b/>
              </w:rPr>
              <w:t xml:space="preserve">E+C-プログラム</w:t>
            </w:r>
            <w:r>
              <w:t xml:space="preserve">: 実証（公開DB登録 約830事業）</w:t>
            </w:r>
          </w:p>
        </w:tc>
        <w:tc>
          <w:p>
            <w:pPr>
              <w:pStyle w:val="Compact"/>
              <w:jc w:val="left"/>
            </w:pPr>
            <w:r>
              <w:t xml:space="preserve">FCBAが木材建築でのFDES整備を加速</w:t>
            </w:r>
          </w:p>
        </w:tc>
      </w:tr>
      <w:tr>
        <w:tc>
          <w:p>
            <w:pPr>
              <w:pStyle w:val="Compact"/>
              <w:jc w:val="left"/>
            </w:pPr>
            <w:r>
              <w:rPr>
                <w:b/>
              </w:rPr>
              <w:t xml:space="preserve">2018</w:t>
            </w:r>
          </w:p>
        </w:tc>
        <w:tc>
          <w:p>
            <w:pPr>
              <w:pStyle w:val="Compact"/>
              <w:jc w:val="left"/>
            </w:pPr>
            <w:r>
              <w:t xml:space="preserve">動的係数の実務化が進む（経緯の一次資料は照合中）</w:t>
            </w:r>
          </w:p>
        </w:tc>
        <w:tc>
          <w:p>
            <w:pPr>
              <w:pStyle w:val="Compact"/>
              <w:jc w:val="left"/>
            </w:pPr>
            <w:r>
              <w:t xml:space="preserve">—</w:t>
            </w:r>
          </w:p>
        </w:tc>
        <w:tc>
          <w:p>
            <w:pPr>
              <w:pStyle w:val="Compact"/>
              <w:jc w:val="left"/>
            </w:pPr>
            <w:r>
              <w:t xml:space="preserve">Elodie計算ツールに動的LCA機能実装</w:t>
            </w:r>
          </w:p>
        </w:tc>
      </w:tr>
      <w:tr>
        <w:tc>
          <w:p>
            <w:pPr>
              <w:pStyle w:val="Compact"/>
              <w:jc w:val="left"/>
            </w:pPr>
            <w:r>
              <w:rPr>
                <w:b/>
              </w:rPr>
              <w:t xml:space="preserve">2019</w:t>
            </w:r>
          </w:p>
        </w:tc>
        <w:tc>
          <w:p>
            <w:pPr>
              <w:pStyle w:val="Compact"/>
              <w:jc w:val="left"/>
            </w:pPr>
            <w:r>
              <w:t xml:space="preserve">—</w:t>
            </w:r>
          </w:p>
        </w:tc>
        <w:tc>
          <w:p>
            <w:pPr>
              <w:pStyle w:val="Compact"/>
              <w:jc w:val="left"/>
            </w:pPr>
            <w:r>
              <w:rPr>
                <w:b/>
              </w:rPr>
              <w:t xml:space="preserve">EUグリーンディール</w:t>
            </w:r>
            <w:r>
              <w:t xml:space="preserve">: WLC義務化の政治的文脈確立</w:t>
            </w:r>
          </w:p>
        </w:tc>
        <w:tc>
          <w:p>
            <w:pPr>
              <w:pStyle w:val="Compact"/>
              <w:jc w:val="left"/>
            </w:pPr>
            <w:r>
              <w:t xml:space="preserve">—</w:t>
            </w:r>
          </w:p>
        </w:tc>
      </w:tr>
      <w:tr>
        <w:tc>
          <w:p>
            <w:pPr>
              <w:pStyle w:val="Compact"/>
              <w:jc w:val="left"/>
            </w:pPr>
            <w:r>
              <w:rPr>
                <w:b/>
              </w:rPr>
              <w:t xml:space="preserve">2021</w:t>
            </w:r>
          </w:p>
        </w:tc>
        <w:tc>
          <w:p>
            <w:pPr>
              <w:pStyle w:val="Compact"/>
              <w:jc w:val="left"/>
            </w:pPr>
            <w:r>
              <w:t xml:space="preserve">—</w:t>
            </w:r>
          </w:p>
        </w:tc>
        <w:tc>
          <w:p>
            <w:pPr>
              <w:pStyle w:val="Compact"/>
              <w:jc w:val="left"/>
            </w:pPr>
            <w:r>
              <w:rPr>
                <w:b/>
              </w:rPr>
              <w:t xml:space="preserve">RE2020法令公布</w:t>
            </w:r>
            <w:r>
              <w:t xml:space="preserve">（デクレ2021-1004）</w:t>
            </w:r>
          </w:p>
        </w:tc>
        <w:tc>
          <w:p>
            <w:pPr>
              <w:pStyle w:val="Compact"/>
              <w:jc w:val="left"/>
            </w:pPr>
            <w:r>
              <w:t xml:space="preserve">全主要建設業界団体が支持</w:t>
            </w:r>
          </w:p>
        </w:tc>
      </w:tr>
      <w:tr>
        <w:tc>
          <w:p>
            <w:pPr>
              <w:pStyle w:val="Compact"/>
              <w:jc w:val="left"/>
            </w:pPr>
            <w:r>
              <w:rPr>
                <w:b/>
              </w:rPr>
              <w:t xml:space="preserve">2022</w:t>
            </w:r>
          </w:p>
        </w:tc>
        <w:tc>
          <w:p>
            <w:pPr>
              <w:pStyle w:val="Compact"/>
              <w:jc w:val="left"/>
            </w:pPr>
            <w:r>
              <w:t xml:space="preserve">—</w:t>
            </w:r>
          </w:p>
        </w:tc>
        <w:tc>
          <w:p>
            <w:pPr>
              <w:pStyle w:val="Compact"/>
              <w:jc w:val="left"/>
            </w:pPr>
            <w:r>
              <w:rPr>
                <w:b/>
              </w:rPr>
              <w:t xml:space="preserve">RE2020施行</w:t>
            </w:r>
            <w:r>
              <w:t xml:space="preserve">・EU議長国として国際発信</w:t>
            </w:r>
          </w:p>
        </w:tc>
        <w:tc>
          <w:p>
            <w:pPr>
              <w:pStyle w:val="Compact"/>
              <w:jc w:val="left"/>
            </w:pPr>
            <w:r>
              <w:t xml:space="preserve">FCBA：「CLTが競争優位の評価インフラとなった」</w:t>
            </w:r>
          </w:p>
        </w:tc>
      </w:tr>
      <w:tr>
        <w:tc>
          <w:p>
            <w:pPr>
              <w:pStyle w:val="Compact"/>
              <w:jc w:val="left"/>
            </w:pPr>
            <w:r>
              <w:rPr>
                <w:b/>
              </w:rPr>
              <w:t xml:space="preserve">2025</w:t>
            </w:r>
          </w:p>
        </w:tc>
        <w:tc>
          <w:p>
            <w:pPr>
              <w:pStyle w:val="Compact"/>
              <w:jc w:val="left"/>
            </w:pPr>
            <w:r>
              <w:t xml:space="preserve">—</w:t>
            </w:r>
          </w:p>
        </w:tc>
        <w:tc>
          <w:p>
            <w:pPr>
              <w:pStyle w:val="Compact"/>
              <w:jc w:val="left"/>
            </w:pPr>
            <w:r>
              <w:rPr>
                <w:b/>
              </w:rPr>
              <w:t xml:space="preserve">Rivaton評価レポート</w:t>
            </w:r>
            <w:r>
              <w:t xml:space="preserve">公表（2025年7月）</w:t>
            </w:r>
          </w:p>
        </w:tc>
        <w:tc>
          <w:p>
            <w:pPr>
              <w:pStyle w:val="Compact"/>
              <w:jc w:val="left"/>
            </w:pPr>
            <w:r>
              <w:t xml:space="preserve">RE2020施行3年</w:t>
            </w:r>
          </w:p>
        </w:tc>
      </w:tr>
    </w:tbl>
    <w:p>
      <w:r>
        <w:pict>
          <v:rect style="width:0;height:1.5pt" o:hralign="center" o:hrstd="t" o:hr="t"/>
        </w:pict>
      </w:r>
    </w:p>
    <w:p>
      <w:pPr>
        <w:pStyle w:val="Heading2"/>
      </w:pPr>
      <w:bookmarkStart w:id="106" w:name="所管省庁組織体制と各機関が担った役割"/>
      <w:r>
        <w:t xml:space="preserve">3. 所管省庁・組織体制と各機関が担った役割</w:t>
      </w:r>
      <w:bookmarkEnd w:id="106"/>
    </w:p>
    <w:p>
      <w:pPr>
        <w:pStyle w:val="BlockText"/>
      </w:pPr>
      <w:r>
        <w:rPr>
          <w:b/>
        </w:rPr>
        <w:t xml:space="preserve">本節で分かること:</w:t>
      </w:r>
      <w:r>
        <w:t xml:space="preserve"> </w:t>
      </w:r>
      <w:r>
        <w:t xml:space="preserve">誰が何を決め、誰が何を根拠として提供したか——責任と専門性の分担構造。</w:t>
      </w:r>
    </w:p>
    <w:p>
      <w:pPr>
        <w:pStyle w:val="Heading3"/>
      </w:pPr>
      <w:bookmarkStart w:id="107" w:name="主管省庁と組織体制"/>
      <w:r>
        <w:t xml:space="preserve">3.1 主管省庁と組織体制</w:t>
      </w:r>
      <w:bookmarkEnd w:id="10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機関</w:t>
            </w:r>
          </w:p>
        </w:tc>
        <w:tc>
          <w:tcPr>
            <w:tcBorders>
              <w:bottom w:val="single"/>
            </w:tcBorders>
            <w:vAlign w:val="bottom"/>
          </w:tcPr>
          <w:p>
            <w:pPr>
              <w:pStyle w:val="Compact"/>
              <w:jc w:val="left"/>
            </w:pPr>
            <w:r>
              <w:t xml:space="preserve">役割</w:t>
            </w:r>
          </w:p>
        </w:tc>
        <w:tc>
          <w:tcPr>
            <w:tcBorders>
              <w:bottom w:val="single"/>
            </w:tcBorders>
            <w:vAlign w:val="bottom"/>
          </w:tcPr>
          <w:p>
            <w:pPr>
              <w:pStyle w:val="Compact"/>
              <w:jc w:val="left"/>
            </w:pPr>
            <w:r>
              <w:t xml:space="preserve">出典</w:t>
            </w:r>
          </w:p>
        </w:tc>
      </w:tr>
      <w:tr>
        <w:tc>
          <w:p>
            <w:pPr>
              <w:pStyle w:val="Compact"/>
              <w:jc w:val="left"/>
            </w:pPr>
            <w:r>
              <w:rPr>
                <w:b/>
              </w:rPr>
              <w:t xml:space="preserve">フランス環境・住宅省</w:t>
            </w:r>
          </w:p>
        </w:tc>
        <w:tc>
          <w:p>
            <w:pPr>
              <w:pStyle w:val="Compact"/>
              <w:jc w:val="left"/>
            </w:pPr>
            <w:r>
              <w:t xml:space="preserve">所管省庁。DHUP（住宅都市計画局）が中心となりRE2020の立案・法制化を主導</w:t>
            </w:r>
          </w:p>
        </w:tc>
        <w:tc>
          <w:p>
            <w:pPr>
              <w:pStyle w:val="Compact"/>
              <w:jc w:val="left"/>
            </w:pPr>
            <w:r>
              <w:t xml:space="preserve">DHUP (2021); Décret 2021-1004</w:t>
            </w:r>
          </w:p>
        </w:tc>
      </w:tr>
      <w:tr>
        <w:tc>
          <w:p>
            <w:pPr>
              <w:pStyle w:val="Compact"/>
              <w:jc w:val="left"/>
            </w:pPr>
            <w:r>
              <w:rPr>
                <w:b/>
              </w:rPr>
              <w:t xml:space="preserve">DGALN</w:t>
            </w:r>
            <w:r>
              <w:t xml:space="preserve">（自然・建築・土地整備総局）</w:t>
            </w:r>
          </w:p>
        </w:tc>
        <w:tc>
          <w:p>
            <w:pPr>
              <w:pStyle w:val="Compact"/>
              <w:jc w:val="left"/>
            </w:pPr>
            <w:r>
              <w:t xml:space="preserve">DHUP の上位組織。政策の最終決定機関</w:t>
            </w:r>
          </w:p>
        </w:tc>
        <w:tc>
          <w:p>
            <w:pPr>
              <w:pStyle w:val="Compact"/>
              <w:jc w:val="left"/>
            </w:pPr>
            <w:r>
              <w:t xml:space="preserve">Ministère de la Transition Écologique (2021)</w:t>
            </w:r>
          </w:p>
        </w:tc>
      </w:tr>
      <w:tr>
        <w:tc>
          <w:p>
            <w:pPr>
              <w:pStyle w:val="Compact"/>
              <w:jc w:val="left"/>
            </w:pPr>
            <w:r>
              <w:rPr>
                <w:b/>
              </w:rPr>
              <w:t xml:space="preserve">CSTB</w:t>
            </w:r>
            <w:r>
              <w:t xml:space="preserve">（建築科学技術センター）</w:t>
            </w:r>
          </w:p>
        </w:tc>
        <w:tc>
          <w:p>
            <w:pPr>
              <w:pStyle w:val="Compact"/>
              <w:jc w:val="left"/>
            </w:pPr>
            <w:r>
              <w:t xml:space="preserve">動的LCA計算ツール「Elodie」の開発・維持管理。建材環境宣言データベース</w:t>
            </w:r>
            <w:r>
              <w:rPr>
                <w:b/>
              </w:rPr>
              <w:t xml:space="preserve">INIES</w:t>
            </w:r>
            <w:r>
              <w:t xml:space="preserve">の技術運営に関与</w:t>
            </w:r>
          </w:p>
        </w:tc>
        <w:tc>
          <w:p>
            <w:pPr>
              <w:pStyle w:val="Compact"/>
              <w:jc w:val="left"/>
            </w:pPr>
            <w:r>
              <w:t xml:space="preserve">CSTB (2022)</w:t>
            </w:r>
          </w:p>
        </w:tc>
      </w:tr>
      <w:tr>
        <w:tc>
          <w:p>
            <w:pPr>
              <w:pStyle w:val="Compact"/>
              <w:jc w:val="left"/>
            </w:pPr>
            <w:r>
              <w:rPr>
                <w:b/>
              </w:rPr>
              <w:t xml:space="preserve">Cerema</w:t>
            </w:r>
            <w:r>
              <w:t xml:space="preserve">（環境・都市計画研究センター）</w:t>
            </w:r>
          </w:p>
        </w:tc>
        <w:tc>
          <w:p>
            <w:pPr>
              <w:pStyle w:val="Compact"/>
              <w:jc w:val="left"/>
            </w:pPr>
            <w:r>
              <w:t xml:space="preserve">RE2020技術ガイドの作成・普及啓発。行政技術顧問</w:t>
            </w:r>
          </w:p>
        </w:tc>
        <w:tc>
          <w:p>
            <w:pPr>
              <w:pStyle w:val="Compact"/>
              <w:jc w:val="left"/>
            </w:pPr>
            <w:r>
              <w:t xml:space="preserve">Cerema (2024)</w:t>
            </w:r>
          </w:p>
        </w:tc>
      </w:tr>
      <w:tr>
        <w:tc>
          <w:p>
            <w:pPr>
              <w:pStyle w:val="Compact"/>
              <w:jc w:val="left"/>
            </w:pPr>
            <w:r>
              <w:rPr>
                <w:b/>
              </w:rPr>
              <w:t xml:space="preserve">ADEME</w:t>
            </w:r>
            <w:r>
              <w:t xml:space="preserve">（環境・エネルギー管理庁）</w:t>
            </w:r>
          </w:p>
        </w:tc>
        <w:tc>
          <w:p>
            <w:pPr>
              <w:pStyle w:val="Compact"/>
              <w:jc w:val="left"/>
            </w:pPr>
            <w:r>
              <w:t xml:space="preserve">省エネ・炭素削減の国家機関。RE2020の炭素評価手法の科学的レビュー</w:t>
            </w:r>
          </w:p>
        </w:tc>
        <w:tc>
          <w:p>
            <w:pPr>
              <w:pStyle w:val="Compact"/>
              <w:jc w:val="left"/>
            </w:pPr>
            <w:r>
              <w:t xml:space="preserve">ADEME, www.ademe.fr</w:t>
            </w:r>
          </w:p>
        </w:tc>
      </w:tr>
      <w:tr>
        <w:tc>
          <w:p>
            <w:pPr>
              <w:pStyle w:val="Compact"/>
              <w:jc w:val="left"/>
            </w:pPr>
            <w:r>
              <w:rPr>
                <w:b/>
              </w:rPr>
              <w:t xml:space="preserve">FCBA</w:t>
            </w:r>
            <w:r>
              <w:t xml:space="preserve">（フランス木材・建設木材センター）</w:t>
            </w:r>
          </w:p>
        </w:tc>
        <w:tc>
          <w:p>
            <w:pPr>
              <w:pStyle w:val="Compact"/>
              <w:jc w:val="left"/>
            </w:pPr>
            <w:r>
              <w:t xml:space="preserve">木材産業の研究機関。RE2020動的LCA条項の採用を科学的・政治的に支持</w:t>
            </w:r>
          </w:p>
        </w:tc>
        <w:tc>
          <w:p>
            <w:pPr>
              <w:pStyle w:val="Compact"/>
              <w:jc w:val="left"/>
            </w:pPr>
            <w:r>
              <w:t xml:space="preserve">第1編報告書 §2.3</w:t>
            </w:r>
          </w:p>
        </w:tc>
      </w:tr>
    </w:tbl>
    <w:p>
      <w:pPr>
        <w:pStyle w:val="Heading3"/>
      </w:pPr>
      <w:bookmarkStart w:id="108" w:name="意思決定の内部プロセス誰が何を論証したか"/>
      <w:r>
        <w:t xml:space="preserve">3.2 意思決定の内部プロセス：誰が何を論証したか</w:t>
      </w:r>
      <w:bookmarkEnd w:id="108"/>
    </w:p>
    <w:p>
      <w:pPr>
        <w:pStyle w:val="SourceCode"/>
      </w:pPr>
      <w:r>
        <w:rPr>
          <w:rStyle w:val="VerbatimChar"/>
        </w:rPr>
        <w:t xml:space="preserve">FCBA・木材産業界</w:t>
      </w:r>
      <w:r>
        <w:br/>
      </w:r>
      <w:r>
        <w:rPr>
          <w:rStyle w:val="VerbatimChar"/>
        </w:rPr>
        <w:t xml:space="preserve">  「静的LCAでは木材の気候便益が計測されない。これは不公平である」</w:t>
      </w:r>
      <w:r>
        <w:br/>
      </w:r>
      <w:r>
        <w:rPr>
          <w:rStyle w:val="VerbatimChar"/>
        </w:rPr>
        <w:t xml:space="preserve">        ↓（ロビー活動、E+C-参加）</w:t>
      </w:r>
      <w:r>
        <w:br/>
      </w:r>
      <w:r>
        <w:rPr>
          <w:rStyle w:val="VerbatimChar"/>
        </w:rPr>
        <w:t xml:space="preserve">DHUP・DGALN</w:t>
      </w:r>
      <w:r>
        <w:br/>
      </w:r>
      <w:r>
        <w:rPr>
          <w:rStyle w:val="VerbatimChar"/>
        </w:rPr>
        <w:t xml:space="preserve">  「E+C-データを見ると、木造建築物のIc値は非木造より有意に低い。</w:t>
      </w:r>
      <w:r>
        <w:br/>
      </w:r>
      <w:r>
        <w:rPr>
          <w:rStyle w:val="VerbatimChar"/>
        </w:rPr>
        <w:t xml:space="preserve">   動的LCA補正が機能している証拠がある。規制化の根拠が整った」</w:t>
      </w:r>
      <w:r>
        <w:br/>
      </w:r>
      <w:r>
        <w:rPr>
          <w:rStyle w:val="VerbatimChar"/>
        </w:rPr>
        <w:t xml:space="preserve">        ↓（政策判断）</w:t>
      </w:r>
      <w:r>
        <w:br/>
      </w:r>
      <w:r>
        <w:rPr>
          <w:rStyle w:val="VerbatimChar"/>
        </w:rPr>
        <w:t xml:space="preserve">CSTB・Cerema</w:t>
      </w:r>
      <w:r>
        <w:br/>
      </w:r>
      <w:r>
        <w:rPr>
          <w:rStyle w:val="VerbatimChar"/>
        </w:rPr>
        <w:t xml:space="preserve">  「Elodie計算ツールの精度検証完了。FDESカバレッジは十分（ただし課題あり）。</w:t>
      </w:r>
      <w:r>
        <w:br/>
      </w:r>
      <w:r>
        <w:rPr>
          <w:rStyle w:val="VerbatimChar"/>
        </w:rPr>
        <w:t xml:space="preserve">   技術的には施行可能」</w:t>
      </w:r>
      <w:r>
        <w:br/>
      </w:r>
      <w:r>
        <w:rPr>
          <w:rStyle w:val="VerbatimChar"/>
        </w:rPr>
        <w:t xml:space="preserve">        ↓（技術的承認）</w:t>
      </w:r>
      <w:r>
        <w:br/>
      </w:r>
      <w:r>
        <w:rPr>
          <w:rStyle w:val="VerbatimChar"/>
        </w:rPr>
        <w:t xml:space="preserve">RE2020 2022年施行</w:t>
      </w:r>
    </w:p>
    <w:p>
      <w:pPr>
        <w:pStyle w:val="Heading3"/>
      </w:pPr>
      <w:bookmarkStart w:id="109" w:name="関連する国家戦略との整合"/>
      <w:r>
        <w:t xml:space="preserve">3.3 関連する国家戦略との整合</w:t>
      </w:r>
      <w:bookmarkEnd w:id="109"/>
    </w:p>
    <w:p>
      <w:pPr>
        <w:pStyle w:val="FirstParagraph"/>
      </w:pPr>
      <w:r>
        <w:t xml:space="preserve">RE2020は単独の建築規制ではなく、複数の上位国家戦略の</w:t>
      </w:r>
      <w:r>
        <w:rPr>
          <w:b/>
        </w:rPr>
        <w:t xml:space="preserve">収束点</w:t>
      </w:r>
      <w:r>
        <w:t xml:space="preserve">として機能する。</w:t>
      </w:r>
    </w:p>
    <w:tbl>
      <w:tblPr>
        <w:tblStyle w:val="Table"/>
        <w:tblW w:type="pct" w:w="5000.0"/>
        <w:tblLook w:firstRow="1"/>
      </w:tblPr>
      <w:tblGrid>
        <w:gridCol w:w="2160"/>
        <w:gridCol w:w="3360"/>
        <w:gridCol w:w="2400"/>
      </w:tblGrid>
      <w:tr>
        <w:trPr>
          <w:cnfStyle w:firstRow="1"/>
        </w:trPr>
        <w:tc>
          <w:tcPr>
            <w:tcBorders>
              <w:bottom w:val="single"/>
            </w:tcBorders>
            <w:vAlign w:val="bottom"/>
          </w:tcPr>
          <w:p>
            <w:pPr>
              <w:pStyle w:val="Compact"/>
              <w:jc w:val="left"/>
            </w:pPr>
            <w:r>
              <w:t xml:space="preserve">国家戦略</w:t>
            </w:r>
          </w:p>
        </w:tc>
        <w:tc>
          <w:tcPr>
            <w:tcBorders>
              <w:bottom w:val="single"/>
            </w:tcBorders>
            <w:vAlign w:val="bottom"/>
          </w:tcPr>
          <w:p>
            <w:pPr>
              <w:pStyle w:val="Compact"/>
              <w:jc w:val="left"/>
            </w:pPr>
            <w:r>
              <w:t xml:space="preserve">RE2020への接続</w:t>
            </w:r>
          </w:p>
        </w:tc>
        <w:tc>
          <w:tcPr>
            <w:tcBorders>
              <w:bottom w:val="single"/>
            </w:tcBorders>
            <w:vAlign w:val="bottom"/>
          </w:tcPr>
          <w:p>
            <w:pPr>
              <w:pStyle w:val="Compact"/>
              <w:jc w:val="left"/>
            </w:pPr>
            <w:r>
              <w:t xml:space="preserve">なぜ重要か</w:t>
            </w:r>
          </w:p>
        </w:tc>
      </w:tr>
      <w:tr>
        <w:tc>
          <w:p>
            <w:pPr>
              <w:pStyle w:val="Compact"/>
              <w:jc w:val="left"/>
            </w:pPr>
            <w:r>
              <w:rPr>
                <w:b/>
              </w:rPr>
              <w:t xml:space="preserve">SNBC</w:t>
            </w:r>
            <w:r>
              <w:t xml:space="preserve">（国家低炭素戦略 2020改訂版）</w:t>
            </w:r>
          </w:p>
        </w:tc>
        <w:tc>
          <w:p>
            <w:pPr>
              <w:pStyle w:val="Compact"/>
              <w:jc w:val="left"/>
            </w:pPr>
            <w:r>
              <w:t xml:space="preserve">建築分野GHG削減目標（2050年比50%以上削減）の実施手段</w:t>
            </w:r>
          </w:p>
        </w:tc>
        <w:tc>
          <w:p>
            <w:pPr>
              <w:pStyle w:val="Compact"/>
              <w:jc w:val="left"/>
            </w:pPr>
            <w:r>
              <w:t xml:space="preserve">「建物のエンボディド炭素をなぜ規制するか」の法的根拠</w:t>
            </w:r>
          </w:p>
        </w:tc>
      </w:tr>
      <w:tr>
        <w:tc>
          <w:p>
            <w:pPr>
              <w:pStyle w:val="Compact"/>
              <w:jc w:val="left"/>
            </w:pPr>
            <w:r>
              <w:rPr>
                <w:b/>
              </w:rPr>
              <w:t xml:space="preserve">フランス2030投資計画（France 2030）</w:t>
            </w:r>
          </w:p>
        </w:tc>
        <w:tc>
          <w:p>
            <w:pPr>
              <w:pStyle w:val="Compact"/>
              <w:jc w:val="left"/>
            </w:pPr>
            <w:r>
              <w:t xml:space="preserve">木造建築・木材産業への投資（投資規模は要確認）と動的LCAが相乗効果</w:t>
            </w:r>
          </w:p>
        </w:tc>
        <w:tc>
          <w:p>
            <w:pPr>
              <w:pStyle w:val="Compact"/>
              <w:jc w:val="left"/>
            </w:pPr>
            <w:r>
              <w:t xml:space="preserve">投資と評価制度のコヒーレンスを確保</w:t>
            </w:r>
          </w:p>
        </w:tc>
      </w:tr>
      <w:tr>
        <w:tc>
          <w:p>
            <w:pPr>
              <w:pStyle w:val="Compact"/>
              <w:jc w:val="left"/>
            </w:pPr>
            <w:r>
              <w:rPr>
                <w:b/>
              </w:rPr>
              <w:t xml:space="preserve">EUグリーンディール / EPBD 2024</w:t>
            </w:r>
          </w:p>
        </w:tc>
        <w:tc>
          <w:p>
            <w:pPr>
              <w:pStyle w:val="Compact"/>
              <w:jc w:val="left"/>
            </w:pPr>
            <w:r>
              <w:t xml:space="preserve">RE2020をEU全域のWLC義務化モデルとして位置づけ</w:t>
            </w:r>
          </w:p>
        </w:tc>
        <w:tc>
          <w:p>
            <w:pPr>
              <w:pStyle w:val="Compact"/>
              <w:jc w:val="left"/>
            </w:pPr>
            <w:r>
              <w:t xml:space="preserve">「孤立した国内規制」ではなく「EU規格の先行実装」として正当化</w:t>
            </w:r>
          </w:p>
        </w:tc>
      </w:tr>
      <w:tr>
        <w:tc>
          <w:p>
            <w:pPr>
              <w:pStyle w:val="Compact"/>
              <w:jc w:val="left"/>
            </w:pPr>
            <w:r>
              <w:rPr>
                <w:b/>
              </w:rPr>
              <w:t xml:space="preserve">France Bois 2024 等の国産木材利用促進の取組</w:t>
            </w:r>
          </w:p>
        </w:tc>
        <w:tc>
          <w:p>
            <w:pPr>
              <w:pStyle w:val="Compact"/>
              <w:jc w:val="left"/>
            </w:pPr>
            <w:r>
              <w:t xml:space="preserve">国産木材利用促進とRE2020が連動</w:t>
            </w:r>
          </w:p>
        </w:tc>
        <w:tc>
          <w:p>
            <w:pPr>
              <w:pStyle w:val="Compact"/>
              <w:jc w:val="left"/>
            </w:pPr>
            <w:r>
              <w:t xml:space="preserve">木材産業育成と気候政策の「一石二鳥」を政治的に正当化</w:t>
            </w:r>
          </w:p>
        </w:tc>
      </w:tr>
    </w:tbl>
    <w:p>
      <w:r>
        <w:pict>
          <v:rect style="width:0;height:1.5pt" o:hralign="center" o:hrstd="t" o:hr="t"/>
        </w:pict>
      </w:r>
    </w:p>
    <w:p>
      <w:pPr>
        <w:pStyle w:val="Heading2"/>
      </w:pPr>
      <w:bookmarkStart w:id="110" w:name="なぜ他の手段ではなく動的lcaだったのか代替案との比較"/>
      <w:r>
        <w:t xml:space="preserve">4. なぜ他の手段ではなく動的LCAだったのか——代替案との比較</w:t>
      </w:r>
      <w:bookmarkEnd w:id="110"/>
    </w:p>
    <w:p>
      <w:pPr>
        <w:pStyle w:val="BlockText"/>
      </w:pPr>
      <w:r>
        <w:rPr>
          <w:b/>
        </w:rPr>
        <w:t xml:space="preserve">本節で分かること:</w:t>
      </w:r>
      <w:r>
        <w:t xml:space="preserve"> </w:t>
      </w:r>
      <w:r>
        <w:t xml:space="preserve">「動的LCAの代わりに使えた他の政策手段が検討されたが採用されなかった理由」を明示することで、動的LCAの選択が消去法でなく積極的選択であることを示す。</w:t>
      </w:r>
    </w:p>
    <w:p>
      <w:pPr>
        <w:pStyle w:val="Heading3"/>
      </w:pPr>
      <w:bookmarkStart w:id="111" w:name="検討された代替手段と却下の理由"/>
      <w:r>
        <w:t xml:space="preserve">4.1 検討された代替手段と却下の理由</w:t>
      </w:r>
      <w:bookmarkEnd w:id="111"/>
    </w:p>
    <w:tbl>
      <w:tblPr>
        <w:tblStyle w:val="Table"/>
        <w:tblW w:type="pct" w:w="5000.0"/>
        <w:tblLook w:firstRow="1"/>
      </w:tblPr>
      <w:tblGrid>
        <w:gridCol w:w="2096"/>
        <w:gridCol w:w="1397"/>
        <w:gridCol w:w="4425"/>
      </w:tblGrid>
      <w:tr>
        <w:trPr>
          <w:cnfStyle w:firstRow="1"/>
        </w:trPr>
        <w:tc>
          <w:tcPr>
            <w:tcBorders>
              <w:bottom w:val="single"/>
            </w:tcBorders>
            <w:vAlign w:val="bottom"/>
          </w:tcPr>
          <w:p>
            <w:pPr>
              <w:pStyle w:val="Compact"/>
              <w:jc w:val="left"/>
            </w:pPr>
            <w:r>
              <w:t xml:space="preserve">代替手段</w:t>
            </w:r>
          </w:p>
        </w:tc>
        <w:tc>
          <w:tcPr>
            <w:tcBorders>
              <w:bottom w:val="single"/>
            </w:tcBorders>
            <w:vAlign w:val="bottom"/>
          </w:tcPr>
          <w:p>
            <w:pPr>
              <w:pStyle w:val="Compact"/>
              <w:jc w:val="left"/>
            </w:pPr>
            <w:r>
              <w:t xml:space="preserve">概念</w:t>
            </w:r>
          </w:p>
        </w:tc>
        <w:tc>
          <w:tcPr>
            <w:tcBorders>
              <w:bottom w:val="single"/>
            </w:tcBorders>
            <w:vAlign w:val="bottom"/>
          </w:tcPr>
          <w:p>
            <w:pPr>
              <w:pStyle w:val="Compact"/>
              <w:jc w:val="left"/>
            </w:pPr>
            <w:r>
              <w:t xml:space="preserve">採用されなかった理由</w:t>
            </w:r>
          </w:p>
        </w:tc>
      </w:tr>
      <w:tr>
        <w:tc>
          <w:p>
            <w:pPr>
              <w:pStyle w:val="Compact"/>
              <w:jc w:val="left"/>
            </w:pPr>
            <w:r>
              <w:rPr>
                <w:b/>
              </w:rPr>
              <w:t xml:space="preserve">静的LCA（GWP100）のまま使用</w:t>
            </w:r>
          </w:p>
        </w:tc>
        <w:tc>
          <w:p>
            <w:pPr>
              <w:pStyle w:val="Compact"/>
              <w:jc w:val="left"/>
            </w:pPr>
            <w:r>
              <w:t xml:space="preserve">現行手法を継続</w:t>
            </w:r>
          </w:p>
        </w:tc>
        <w:tc>
          <w:p>
            <w:pPr>
              <w:pStyle w:val="Compact"/>
              <w:jc w:val="left"/>
            </w:pPr>
            <w:r>
              <w:t xml:space="preserve">§1で述べた通り、木材の気候便益が計測不能。設計シグナルが誤り。SNBC目標達成に不十分と判断</w:t>
            </w:r>
          </w:p>
        </w:tc>
      </w:tr>
      <w:tr>
        <w:tc>
          <w:p>
            <w:pPr>
              <w:pStyle w:val="Compact"/>
              <w:jc w:val="left"/>
            </w:pPr>
            <w:r>
              <w:rPr>
                <w:b/>
              </w:rPr>
              <w:t xml:space="preserve">木材への固定補助金・クレジット制度</w:t>
            </w:r>
          </w:p>
        </w:tc>
        <w:tc>
          <w:p>
            <w:pPr>
              <w:pStyle w:val="Compact"/>
              <w:jc w:val="left"/>
            </w:pPr>
            <w:r>
              <w:t xml:space="preserve">木材建材を使う建物に一律炭素クレジットを付与</w:t>
            </w:r>
          </w:p>
        </w:tc>
        <w:tc>
          <w:p>
            <w:pPr>
              <w:pStyle w:val="Compact"/>
              <w:jc w:val="left"/>
            </w:pPr>
            <w:r>
              <w:t xml:space="preserve">物理的根拠のない固定値では科学的正当性なし。補助金は財政負担。EU規制との整合困難</w:t>
            </w:r>
          </w:p>
        </w:tc>
      </w:tr>
      <w:tr>
        <w:tc>
          <w:p>
            <w:pPr>
              <w:pStyle w:val="Compact"/>
              <w:jc w:val="left"/>
            </w:pPr>
            <w:r>
              <w:rPr>
                <w:b/>
              </w:rPr>
              <w:t xml:space="preserve">静的LCA + バイオジェニック炭素の別途報告（EN 15804準拠）</w:t>
            </w:r>
          </w:p>
        </w:tc>
        <w:tc>
          <w:p>
            <w:pPr>
              <w:pStyle w:val="Compact"/>
              <w:jc w:val="left"/>
            </w:pPr>
            <w:r>
              <w:t xml:space="preserve">−1/+1アプローチのみを採用し、時間補正は行わない</w:t>
            </w:r>
          </w:p>
        </w:tc>
        <w:tc>
          <w:p>
            <w:pPr>
              <w:pStyle w:val="Compact"/>
              <w:jc w:val="left"/>
            </w:pPr>
            <w:r>
              <w:t xml:space="preserve">「吸収t=0・放出t=50年」の物理的非対称性が評価に反映されず、§1.1の問題が残存</w:t>
            </w:r>
          </w:p>
        </w:tc>
      </w:tr>
      <w:tr>
        <w:tc>
          <w:p>
            <w:pPr>
              <w:pStyle w:val="Compact"/>
              <w:jc w:val="left"/>
            </w:pPr>
            <w:r>
              <w:rPr>
                <w:b/>
              </w:rPr>
              <w:t xml:space="preserve">完全な動的LCA（非線形DCF・可変時間地平方式）</w:t>
            </w:r>
          </w:p>
        </w:tc>
        <w:tc>
          <w:p>
            <w:pPr>
              <w:pStyle w:val="Compact"/>
              <w:jc w:val="left"/>
            </w:pPr>
            <w:r>
              <w:t xml:space="preserve">Ventura (2022) が提案する TOD = LCD + THI 方式</w:t>
            </w:r>
          </w:p>
        </w:tc>
        <w:tc>
          <w:p>
            <w:pPr>
              <w:pStyle w:val="Compact"/>
              <w:jc w:val="left"/>
            </w:pPr>
            <w:r>
              <w:t xml:space="preserve">設計者・計算ツールへの要求が高く、2022年段階では実装不可能。過渡期的に線形近似を採用し、2028年フェーズ3での見直しを計画</w:t>
            </w:r>
          </w:p>
        </w:tc>
      </w:tr>
      <w:tr>
        <w:tc>
          <w:p>
            <w:pPr>
              <w:pStyle w:val="Compact"/>
              <w:jc w:val="left"/>
            </w:pPr>
            <w:r>
              <w:rPr>
                <w:b/>
              </w:rPr>
              <w:t xml:space="preserve">建築炭素税</w:t>
            </w:r>
          </w:p>
        </w:tc>
        <w:tc>
          <w:p>
            <w:pPr>
              <w:pStyle w:val="Compact"/>
              <w:jc w:val="left"/>
            </w:pPr>
            <w:r>
              <w:t xml:space="preserve">建材の炭素含有量に応じた税</w:t>
            </w:r>
          </w:p>
        </w:tc>
        <w:tc>
          <w:p>
            <w:pPr>
              <w:pStyle w:val="Compact"/>
              <w:jc w:val="left"/>
            </w:pPr>
            <w:r>
              <w:t xml:space="preserve">産業界の反発が強く政治的に困難。炭素価格の変動リスク。EU ETSとの重複問題</w:t>
            </w:r>
          </w:p>
        </w:tc>
      </w:tr>
    </w:tbl>
    <w:p>
      <w:pPr>
        <w:pStyle w:val="BodyText"/>
      </w:pPr>
      <w:r>
        <w:rPr>
          <w:b/>
        </w:rPr>
        <w:t xml:space="preserve">結論:</w:t>
      </w:r>
      <w:r>
        <w:t xml:space="preserve"> </w:t>
      </w:r>
      <w:r>
        <w:t xml:space="preserve">動的LCA（線形近似）は、科学的妥当性・実務的実現可能性・政治的受容性の三要件を唯一満たす手段であった。</w:t>
      </w:r>
    </w:p>
    <w:p>
      <w:pPr>
        <w:pStyle w:val="Heading3"/>
      </w:pPr>
      <w:bookmarkStart w:id="112" w:name="線形近似の科学的トレードオフ"/>
      <w:r>
        <w:t xml:space="preserve">4.2 線形近似の科学的トレードオフ</w:t>
      </w:r>
      <w:bookmarkEnd w:id="112"/>
    </w:p>
    <w:p>
      <w:pPr>
        <w:pStyle w:val="FirstParagraph"/>
      </w:pPr>
      <w:r>
        <w:t xml:space="preserve">フランスが採用した線形近似は、厳密な非線形DCFよりも不正確である（Ventura, 2022）。しかしこの選択には明確な政策的合理性がある：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評価軸</w:t>
            </w:r>
          </w:p>
        </w:tc>
        <w:tc>
          <w:tcPr>
            <w:tcBorders>
              <w:bottom w:val="single"/>
            </w:tcBorders>
            <w:vAlign w:val="bottom"/>
          </w:tcPr>
          <w:p>
            <w:pPr>
              <w:pStyle w:val="Compact"/>
              <w:jc w:val="left"/>
            </w:pPr>
            <w:r>
              <w:t xml:space="preserve">非線形DCF（可変DO方式）</w:t>
            </w:r>
          </w:p>
        </w:tc>
        <w:tc>
          <w:tcPr>
            <w:tcBorders>
              <w:bottom w:val="single"/>
            </w:tcBorders>
            <w:vAlign w:val="bottom"/>
          </w:tcPr>
          <w:p>
            <w:pPr>
              <w:pStyle w:val="Compact"/>
              <w:jc w:val="left"/>
            </w:pPr>
            <w:r>
              <w:t xml:space="preserve">RE2020線形近似</w:t>
            </w:r>
          </w:p>
        </w:tc>
      </w:tr>
      <w:tr>
        <w:tc>
          <w:p>
            <w:pPr>
              <w:pStyle w:val="Compact"/>
              <w:jc w:val="left"/>
            </w:pPr>
            <w:r>
              <w:rPr>
                <w:b/>
              </w:rPr>
              <w:t xml:space="preserve">科学的精度</w:t>
            </w:r>
          </w:p>
        </w:tc>
        <w:tc>
          <w:p>
            <w:pPr>
              <w:pStyle w:val="Compact"/>
              <w:jc w:val="left"/>
            </w:pPr>
            <w:r>
              <w:t xml:space="preserve">◎（物理的に正確）</w:t>
            </w:r>
          </w:p>
        </w:tc>
        <w:tc>
          <w:p>
            <w:pPr>
              <w:pStyle w:val="Compact"/>
              <w:jc w:val="left"/>
            </w:pPr>
            <w:r>
              <w:t xml:space="preserve">△（t=50年で木材便益を約25〜35%過大評価）</w:t>
            </w:r>
          </w:p>
        </w:tc>
      </w:tr>
      <w:tr>
        <w:tc>
          <w:p>
            <w:pPr>
              <w:pStyle w:val="Compact"/>
              <w:jc w:val="left"/>
            </w:pPr>
            <w:r>
              <w:rPr>
                <w:b/>
              </w:rPr>
              <w:t xml:space="preserve">計算の透明性</w:t>
            </w:r>
          </w:p>
        </w:tc>
        <w:tc>
          <w:p>
            <w:pPr>
              <w:pStyle w:val="Compact"/>
              <w:jc w:val="left"/>
            </w:pPr>
            <w:r>
              <w:t xml:space="preserve">△（数値積分が必要）</w:t>
            </w:r>
          </w:p>
        </w:tc>
        <w:tc>
          <w:p>
            <w:pPr>
              <w:pStyle w:val="Compact"/>
              <w:jc w:val="left"/>
            </w:pPr>
            <w:r>
              <w:t xml:space="preserve">◎（係数表で誰でも再現可能）</w:t>
            </w:r>
          </w:p>
        </w:tc>
      </w:tr>
      <w:tr>
        <w:tc>
          <w:p>
            <w:pPr>
              <w:pStyle w:val="Compact"/>
              <w:jc w:val="left"/>
            </w:pPr>
            <w:r>
              <w:rPr>
                <w:b/>
              </w:rPr>
              <w:t xml:space="preserve">実務コスト</w:t>
            </w:r>
          </w:p>
        </w:tc>
        <w:tc>
          <w:p>
            <w:pPr>
              <w:pStyle w:val="Compact"/>
              <w:jc w:val="left"/>
            </w:pPr>
            <w:r>
              <w:t xml:space="preserve">高（専門的ソフトウェア必須）</w:t>
            </w:r>
          </w:p>
        </w:tc>
        <w:tc>
          <w:p>
            <w:pPr>
              <w:pStyle w:val="Compact"/>
              <w:jc w:val="left"/>
            </w:pPr>
            <w:r>
              <w:t xml:space="preserve">低（Excelでも計算可能）</w:t>
            </w:r>
          </w:p>
        </w:tc>
      </w:tr>
      <w:tr>
        <w:tc>
          <w:p>
            <w:pPr>
              <w:pStyle w:val="Compact"/>
              <w:jc w:val="left"/>
            </w:pPr>
            <w:r>
              <w:rPr>
                <w:b/>
              </w:rPr>
              <w:t xml:space="preserve">規制の予測可能性</w:t>
            </w:r>
          </w:p>
        </w:tc>
        <w:tc>
          <w:p>
            <w:pPr>
              <w:pStyle w:val="Compact"/>
              <w:jc w:val="left"/>
            </w:pPr>
            <w:r>
              <w:t xml:space="preserve">低（DOの定義に解釈余地）</w:t>
            </w:r>
          </w:p>
        </w:tc>
        <w:tc>
          <w:p>
            <w:pPr>
              <w:pStyle w:val="Compact"/>
              <w:jc w:val="left"/>
            </w:pPr>
            <w:r>
              <w:t xml:space="preserve">高（パラメータ完全固定）</w:t>
            </w:r>
          </w:p>
        </w:tc>
      </w:tr>
      <w:tr>
        <w:tc>
          <w:p>
            <w:pPr>
              <w:pStyle w:val="Compact"/>
              <w:jc w:val="left"/>
            </w:pPr>
            <w:r>
              <w:rPr>
                <w:b/>
              </w:rPr>
              <w:t xml:space="preserve">2022年時点での実装可能性</w:t>
            </w:r>
          </w:p>
        </w:tc>
        <w:tc>
          <w:p>
            <w:pPr>
              <w:pStyle w:val="Compact"/>
              <w:jc w:val="left"/>
            </w:pPr>
            <w:r>
              <w:t xml:space="preserve">△</w:t>
            </w:r>
          </w:p>
        </w:tc>
        <w:tc>
          <w:p>
            <w:pPr>
              <w:pStyle w:val="Compact"/>
              <w:jc w:val="left"/>
            </w:pPr>
            <w:r>
              <w:t xml:space="preserve">◎</w:t>
            </w:r>
          </w:p>
        </w:tc>
      </w:tr>
    </w:tbl>
    <w:p>
      <w:pPr>
        <w:pStyle w:val="BodyText"/>
      </w:pPr>
      <w:r>
        <w:t xml:space="preserve">フランスは</w:t>
      </w:r>
      <w:r>
        <w:rPr>
          <w:b/>
        </w:rPr>
        <w:t xml:space="preserve">2022年の規制化を優先し、2028年フェーズ3での精度向上を計画的に留保した</w:t>
      </w:r>
      <w:r>
        <w:t xml:space="preserve">。これはアダプティブ・レギュレーション（adaptive regulation）の意図的設計である。</w:t>
      </w:r>
    </w:p>
    <w:p>
      <w:r>
        <w:pict>
          <v:rect style="width:0;height:1.5pt" o:hralign="center" o:hrstd="t" o:hr="t"/>
        </w:pict>
      </w:r>
    </w:p>
    <w:p>
      <w:pPr>
        <w:pStyle w:val="Heading2"/>
      </w:pPr>
      <w:bookmarkStart w:id="113" w:name="政策目標課題認識と批判的考察"/>
      <w:r>
        <w:t xml:space="preserve">5. 政策目標・課題認識と批判的考察</w:t>
      </w:r>
      <w:bookmarkEnd w:id="113"/>
    </w:p>
    <w:p>
      <w:pPr>
        <w:pStyle w:val="Heading3"/>
      </w:pPr>
      <w:bookmarkStart w:id="114" w:name="re2020が達成した5つの目標"/>
      <w:r>
        <w:t xml:space="preserve">5.1 RE2020が達成した5つの目標</w:t>
      </w:r>
      <w:bookmarkEnd w:id="114"/>
    </w:p>
    <w:p>
      <w:pPr>
        <w:numPr>
          <w:ilvl w:val="0"/>
          <w:numId w:val="1023"/>
        </w:numPr>
      </w:pPr>
      <w:r>
        <w:rPr>
          <w:b/>
        </w:rPr>
        <w:t xml:space="preserve">建築エンボディド炭素の「見える化」（主目的）:</w:t>
      </w:r>
      <w:r>
        <w:br/>
      </w:r>
      <w:r>
        <w:t xml:space="preserve">RT2012では建材・施工起因のGHGが評価外。断熱性能を上げるために大量の断熱材（高炭素）を使うというトレードオフが見えなかった。</w:t>
      </w:r>
      <m:oMath>
        <m:r>
          <m:t>I</m:t>
        </m:r>
        <m:sSub>
          <m:e>
            <m:r>
              <m:t>c</m:t>
            </m:r>
          </m:e>
          <m:sub>
            <m:r>
              <m:rPr>
                <m:nor/>
                <m:sty m:val="p"/>
              </m:rPr>
              <m:t>construction</m:t>
            </m:r>
          </m:sub>
        </m:sSub>
      </m:oMath>
      <w:r>
        <w:t xml:space="preserve"> </w:t>
      </w:r>
      <w:r>
        <w:t xml:space="preserve">規制がこの盲点を解消した。</w:t>
      </w:r>
    </w:p>
    <w:p>
      <w:pPr>
        <w:numPr>
          <w:ilvl w:val="0"/>
          <w:numId w:val="1023"/>
        </w:numPr>
      </w:pPr>
      <w:r>
        <w:rPr>
          <w:b/>
        </w:rPr>
        <w:t xml:space="preserve">設計段階の炭素シグナルの修正（科学的目標）:</w:t>
      </w:r>
      <w:r>
        <w:br/>
      </w:r>
      <w:r>
        <w:t xml:space="preserve">§1.3で示した「静的LCA：木材≡コンクリート」という誤ったシグナルを修正し、木造建築の正当な評価を可能にした。</w:t>
      </w:r>
    </w:p>
    <w:p>
      <w:pPr>
        <w:numPr>
          <w:ilvl w:val="0"/>
          <w:numId w:val="1023"/>
        </w:numPr>
      </w:pPr>
      <w:r>
        <w:rPr>
          <w:b/>
        </w:rPr>
        <w:t xml:space="preserve">段階的目標による継続的技術革新の制度化（政策工学目標）:</w:t>
      </w:r>
      <w:r>
        <w:br/>
      </w:r>
      <w:r>
        <w:t xml:space="preserve">フェーズ1→4の段階的seuil引き下げは、毎フェーズで建設業界全体に低炭素化のプレッシャーをかけ、FDES整備・設計ノウハウ蓄積・材料革新を促すメカニズムとして機能する。</w:t>
      </w:r>
    </w:p>
    <w:p>
      <w:pPr>
        <w:numPr>
          <w:ilvl w:val="0"/>
          <w:numId w:val="1023"/>
        </w:numPr>
      </w:pPr>
      <w:r>
        <w:rPr>
          <w:b/>
        </w:rPr>
        <w:t xml:space="preserve">産業競争条件の再調整（産業政策目標）:</w:t>
      </w:r>
      <w:r>
        <w:br/>
      </w:r>
      <w:r>
        <w:t xml:space="preserve">木材産業にとって不利だった「静的LCAの土俵」を動的LCAに変えることで、木造建築の経済的競争力を正当化。</w:t>
      </w:r>
      <w:r>
        <w:rPr>
          <w:b/>
        </w:rPr>
        <w:t xml:space="preserve">フランス政府はこれを「補助金」ではなく「正確な計測への移行」として正当化した</w:t>
      </w:r>
      <w:r>
        <w:t xml:space="preserve">。</w:t>
      </w:r>
    </w:p>
    <w:p>
      <w:pPr>
        <w:numPr>
          <w:ilvl w:val="0"/>
          <w:numId w:val="1023"/>
        </w:numPr>
      </w:pPr>
      <w:r>
        <w:rPr>
          <w:b/>
        </w:rPr>
        <w:t xml:space="preserve">EU規格の先取り（国際戦略目標）:</w:t>
      </w:r>
      <w:r>
        <w:br/>
      </w:r>
      <w:r>
        <w:t xml:space="preserve">EPBD 2024（WLC開示義務）の手法論としてRE2020方式が参照されることを見越した先行実装。CEN/TC 350における欧州規格改訂の議論への影響力確保とも連動している。</w:t>
      </w:r>
    </w:p>
    <w:p>
      <w:pPr>
        <w:pStyle w:val="Heading3"/>
      </w:pPr>
      <w:bookmarkStart w:id="115" w:name="残された構造的限界専門家委員会への正直な提示"/>
      <w:r>
        <w:t xml:space="preserve">5.2 残された構造的限界（専門家委員会への正直な提示）</w:t>
      </w:r>
      <w:bookmarkEnd w:id="115"/>
    </w:p>
    <w:p>
      <w:pPr>
        <w:pStyle w:val="FirstParagraph"/>
      </w:pPr>
      <w:r>
        <w:t xml:space="preserve">専門家委員会に対しては、現行制度の限界も隠さず提示する必要がある：</w:t>
      </w:r>
    </w:p>
    <w:tbl>
      <w:tblPr>
        <w:tblStyle w:val="Table"/>
        <w:tblW w:type="pct" w:w="5000.0"/>
        <w:tblLook w:firstRow="1"/>
      </w:tblPr>
      <w:tblGrid>
        <w:gridCol w:w="1320"/>
        <w:gridCol w:w="1320"/>
        <w:gridCol w:w="1760"/>
        <w:gridCol w:w="3520"/>
      </w:tblGrid>
      <w:tr>
        <w:trPr>
          <w:cnfStyle w:firstRow="1"/>
        </w:trPr>
        <w:tc>
          <w:tcPr>
            <w:tcBorders>
              <w:bottom w:val="single"/>
            </w:tcBorders>
            <w:vAlign w:val="bottom"/>
          </w:tcPr>
          <w:p>
            <w:pPr>
              <w:pStyle w:val="Compact"/>
              <w:jc w:val="left"/>
            </w:pPr>
            <w:r>
              <w:t xml:space="preserve">課題</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深刻度</w:t>
            </w:r>
          </w:p>
        </w:tc>
        <w:tc>
          <w:tcPr>
            <w:tcBorders>
              <w:bottom w:val="single"/>
            </w:tcBorders>
            <w:vAlign w:val="bottom"/>
          </w:tcPr>
          <w:p>
            <w:pPr>
              <w:pStyle w:val="Compact"/>
              <w:jc w:val="left"/>
            </w:pPr>
            <w:r>
              <w:t xml:space="preserve">2028年以降の対処</w:t>
            </w:r>
          </w:p>
        </w:tc>
      </w:tr>
      <w:tr>
        <w:tc>
          <w:p>
            <w:pPr>
              <w:pStyle w:val="Compact"/>
              <w:jc w:val="left"/>
            </w:pPr>
            <w:r>
              <w:rPr>
                <w:b/>
              </w:rPr>
              <w:t xml:space="preserve">DO固定による過大評価</w:t>
            </w:r>
          </w:p>
        </w:tc>
        <w:tc>
          <w:p>
            <w:pPr>
              <w:pStyle w:val="Compact"/>
              <w:jc w:val="left"/>
            </w:pPr>
            <w:r>
              <w:t xml:space="preserve">一時的炭素貯蔵の効果がt=50年時点で約25%過大評価される（Ventura, 2022。個別係数値は原典照合中）</w:t>
            </w:r>
          </w:p>
        </w:tc>
        <w:tc>
          <w:p>
            <w:pPr>
              <w:pStyle w:val="Compact"/>
              <w:jc w:val="left"/>
            </w:pPr>
            <w:r>
              <w:t xml:space="preserve">中（方向性は正しい）</w:t>
            </w:r>
          </w:p>
        </w:tc>
        <w:tc>
          <w:p>
            <w:pPr>
              <w:pStyle w:val="Compact"/>
              <w:jc w:val="left"/>
            </w:pPr>
            <w:r>
              <w:t xml:space="preserve">非線形DCF（可変時間地平）方式への移行を検討</w:t>
            </w:r>
          </w:p>
        </w:tc>
      </w:tr>
      <w:tr>
        <w:tc>
          <w:p>
            <w:pPr>
              <w:pStyle w:val="Compact"/>
              <w:jc w:val="left"/>
            </w:pPr>
            <w:r>
              <w:rPr>
                <w:b/>
              </w:rPr>
              <w:t xml:space="preserve">FDES品質・カバレッジ不足</w:t>
            </w:r>
          </w:p>
        </w:tc>
        <w:tc>
          <w:p>
            <w:pPr>
              <w:pStyle w:val="Compact"/>
              <w:jc w:val="left"/>
            </w:pPr>
            <w:r>
              <w:t xml:space="preserve">デフォルト値（過度に不利な値）に依存する建材が多い。設計者間のIc値ばらつきが大きい。2025年にデフォルト値モデュレーション（Mided）が廃止され、FDES未整備の建材はさらに不利に</w:t>
            </w:r>
          </w:p>
        </w:tc>
        <w:tc>
          <w:p>
            <w:pPr>
              <w:pStyle w:val="Compact"/>
              <w:jc w:val="left"/>
            </w:pPr>
            <w:r>
              <w:t xml:space="preserve">高</w:t>
            </w:r>
          </w:p>
        </w:tc>
        <w:tc>
          <w:p>
            <w:pPr>
              <w:pStyle w:val="Compact"/>
              <w:jc w:val="left"/>
            </w:pPr>
            <w:r>
              <w:t xml:space="preserve">FDES整備の加速（Rivaton報告書〔2025・23提言〕を受けた政府の調整プロセスで検討。個別提言番号は原文照合中）</w:t>
            </w:r>
          </w:p>
        </w:tc>
      </w:tr>
      <w:tr>
        <w:tc>
          <w:p>
            <w:pPr>
              <w:pStyle w:val="Compact"/>
              <w:jc w:val="left"/>
            </w:pPr>
            <w:r>
              <w:rPr>
                <w:b/>
              </w:rPr>
              <w:t xml:space="preserve">中小業者コスト負担</w:t>
            </w:r>
          </w:p>
        </w:tc>
        <w:tc>
          <w:p>
            <w:pPr>
              <w:pStyle w:val="Compact"/>
              <w:jc w:val="left"/>
            </w:pPr>
            <w:r>
              <w:t xml:space="preserve">EPD取得・計算費用が中小建設業者に集中</w:t>
            </w:r>
          </w:p>
        </w:tc>
        <w:tc>
          <w:p>
            <w:pPr>
              <w:pStyle w:val="Compact"/>
              <w:jc w:val="left"/>
            </w:pPr>
            <w:r>
              <w:t xml:space="preserve">中</w:t>
            </w:r>
          </w:p>
        </w:tc>
        <w:tc>
          <w:p>
            <w:pPr>
              <w:pStyle w:val="Compact"/>
              <w:jc w:val="left"/>
            </w:pPr>
            <w:r>
              <w:t xml:space="preserve">公的支援・一括ツールの提供</w:t>
            </w:r>
          </w:p>
        </w:tc>
      </w:tr>
      <w:tr>
        <w:tc>
          <w:p>
            <w:pPr>
              <w:pStyle w:val="Compact"/>
              <w:jc w:val="left"/>
            </w:pPr>
            <w:r>
              <w:rPr>
                <w:b/>
              </w:rPr>
              <w:t xml:space="preserve">Dモジュール除外</w:t>
            </w:r>
          </w:p>
        </w:tc>
        <w:tc>
          <w:p>
            <w:pPr>
              <w:pStyle w:val="Compact"/>
              <w:jc w:val="left"/>
            </w:pPr>
            <w:r>
              <w:t xml:space="preserve">再利用・リサイクルの炭素便益がIcに反映されず、サーキュラー設計への誘因が弱い</w:t>
            </w:r>
          </w:p>
        </w:tc>
        <w:tc>
          <w:p>
            <w:pPr>
              <w:pStyle w:val="Compact"/>
              <w:jc w:val="left"/>
            </w:pPr>
            <w:r>
              <w:t xml:space="preserve">高</w:t>
            </w:r>
          </w:p>
        </w:tc>
        <w:tc>
          <w:p>
            <w:pPr>
              <w:pStyle w:val="Compact"/>
              <w:jc w:val="left"/>
            </w:pPr>
            <w:r>
              <w:t xml:space="preserve">部分的Ic組み込みの検討（個別提言の有無は原文照合中）</w:t>
            </w:r>
          </w:p>
        </w:tc>
      </w:tr>
      <w:tr>
        <w:tc>
          <w:p>
            <w:pPr>
              <w:pStyle w:val="Compact"/>
              <w:jc w:val="left"/>
            </w:pPr>
            <w:r>
              <w:rPr>
                <w:b/>
              </w:rPr>
              <w:t xml:space="preserve">SFM前提の脆弱性</w:t>
            </w:r>
          </w:p>
        </w:tc>
        <w:tc>
          <w:p>
            <w:pPr>
              <w:pStyle w:val="Compact"/>
              <w:jc w:val="left"/>
            </w:pPr>
            <w:r>
              <w:t xml:space="preserve">「伐採＝植林」が保証されない場合の評価方法が未確立</w:t>
            </w:r>
          </w:p>
        </w:tc>
        <w:tc>
          <w:p>
            <w:pPr>
              <w:pStyle w:val="Compact"/>
              <w:jc w:val="left"/>
            </w:pPr>
            <w:r>
              <w:t xml:space="preserve">高（長期的）</w:t>
            </w:r>
          </w:p>
        </w:tc>
        <w:tc>
          <w:p>
            <w:pPr>
              <w:pStyle w:val="Compact"/>
              <w:jc w:val="left"/>
            </w:pPr>
            <w:r>
              <w:t xml:space="preserve">FSC/PEFC認証との連動強化</w:t>
            </w:r>
          </w:p>
        </w:tc>
      </w:tr>
    </w:tbl>
    <w:p>
      <w:r>
        <w:pict>
          <v:rect style="width:0;height:1.5pt" o:hralign="center" o:hrstd="t" o:hr="t"/>
        </w:pict>
      </w:r>
    </w:p>
    <w:p>
      <w:pPr>
        <w:pStyle w:val="Heading2"/>
      </w:pPr>
      <w:bookmarkStart w:id="116" w:name="フランスの林業木材利用戦略との関係性"/>
      <w:r>
        <w:t xml:space="preserve">6. フランスの林業・木材利用戦略との関係性</w:t>
      </w:r>
      <w:bookmarkEnd w:id="116"/>
    </w:p>
    <w:p>
      <w:pPr>
        <w:pStyle w:val="Heading3"/>
      </w:pPr>
      <w:bookmarkStart w:id="117" w:name="なぜ木材産業がこれほど強く動的lcaを支持したか"/>
      <w:r>
        <w:t xml:space="preserve">6.1 なぜ木材産業がこれほど強く動的LCAを支持したか</w:t>
      </w:r>
      <w:bookmarkEnd w:id="117"/>
    </w:p>
    <w:p>
      <w:pPr>
        <w:pStyle w:val="FirstParagraph"/>
      </w:pPr>
      <w:r>
        <w:t xml:space="preserve">FCBAを中心とする木材産業界が動的LCAを積極的に支持した経済的論理：</w:t>
      </w:r>
    </w:p>
    <w:p>
      <w:pPr>
        <w:pStyle w:val="SourceCode"/>
      </w:pPr>
      <w:r>
        <w:rPr>
          <w:rStyle w:val="VerbatimChar"/>
        </w:rPr>
        <w:t xml:space="preserve">【静的LCAの世界（2022年以前）】</w:t>
      </w:r>
      <w:r>
        <w:br/>
      </w:r>
      <w:r>
        <w:rPr>
          <w:rStyle w:val="VerbatimChar"/>
        </w:rPr>
        <w:t xml:space="preserve">  コンクリート建物: Ic ≈ +300 kgCO₂eq/m³</w:t>
      </w:r>
      <w:r>
        <w:br/>
      </w:r>
      <w:r>
        <w:rPr>
          <w:rStyle w:val="VerbatimChar"/>
        </w:rPr>
        <w:t xml:space="preserve">  木材（CLT）建物: Ic ≈ +98 kgCO₂eq/m³（低いが「排出」のまま）</w:t>
      </w:r>
      <w:r>
        <w:br/>
      </w:r>
      <w:r>
        <w:rPr>
          <w:rStyle w:val="VerbatimChar"/>
        </w:rPr>
        <w:t xml:space="preserve">  → 設計者へのメッセージ: 「木造の方が少し良いが、根本は同じ（どちらも排出）」</w:t>
      </w:r>
      <w:r>
        <w:br/>
      </w:r>
      <w:r>
        <w:br/>
      </w:r>
      <w:r>
        <w:rPr>
          <w:rStyle w:val="VerbatimChar"/>
        </w:rPr>
        <w:t xml:space="preserve">【動的LCAの世界（RE2020 2022年〜）】</w:t>
      </w:r>
      <w:r>
        <w:br/>
      </w:r>
      <w:r>
        <w:rPr>
          <w:rStyle w:val="VerbatimChar"/>
        </w:rPr>
        <w:t xml:space="preserve">  コンクリート建物: Ic ≈ +295 kgCO₂eq/m³（ほぼ不変）</w:t>
      </w:r>
      <w:r>
        <w:br/>
      </w:r>
      <w:r>
        <w:rPr>
          <w:rStyle w:val="VerbatimChar"/>
        </w:rPr>
        <w:t xml:space="preserve">  木材（CLT）建物: Ic ≈ −171 kgCO₂eq/m³（「吸収」に逆転）</w:t>
      </w:r>
      <w:r>
        <w:br/>
      </w:r>
      <w:r>
        <w:rPr>
          <w:rStyle w:val="VerbatimChar"/>
        </w:rPr>
        <w:t xml:space="preserve">  → 設計者へのメッセージ: 「木造を選ぶことは積極的炭素固定を意味する」</w:t>
      </w:r>
    </w:p>
    <w:p>
      <w:pPr>
        <w:pStyle w:val="FirstParagraph"/>
      </w:pPr>
      <w:r>
        <w:t xml:space="preserve">この評価の逆転（「排出」→「吸収」）は、設計者・建主の木造選択率に直接影響する。フランスの木材産業はこれを「市場アクセス拡大」ではなく「正当な評価の回復」として訴えた（第1編報告書 §2.3）。</w:t>
      </w:r>
    </w:p>
    <w:p>
      <w:pPr>
        <w:pStyle w:val="Heading3"/>
      </w:pPr>
      <w:bookmarkStart w:id="118" w:name="動的lcaと林業政策の双方向強化ループ"/>
      <w:r>
        <w:t xml:space="preserve">6.2 動的LCAと林業政策の双方向強化ループ</w:t>
      </w:r>
      <w:bookmarkEnd w:id="118"/>
    </w:p>
    <w:p>
      <w:pPr>
        <w:pStyle w:val="SourceCode"/>
      </w:pPr>
      <w:r>
        <w:rPr>
          <w:rStyle w:val="VerbatimChar"/>
        </w:rPr>
        <w:t xml:space="preserve">RE2020（動的LCA）が木造建築を優遇</w:t>
      </w:r>
      <w:r>
        <w:br/>
      </w:r>
      <w:r>
        <w:rPr>
          <w:rStyle w:val="VerbatimChar"/>
        </w:rPr>
        <w:t xml:space="preserve">        ↓</w:t>
      </w:r>
      <w:r>
        <w:br/>
      </w:r>
      <w:r>
        <w:rPr>
          <w:rStyle w:val="VerbatimChar"/>
        </w:rPr>
        <w:t xml:space="preserve">木造建築需要の拡大 → 国産木材消費量の増加</w:t>
      </w:r>
      <w:r>
        <w:br/>
      </w:r>
      <w:r>
        <w:rPr>
          <w:rStyle w:val="VerbatimChar"/>
        </w:rPr>
        <w:t xml:space="preserve">        ↓</w:t>
      </w:r>
      <w:r>
        <w:br/>
      </w:r>
      <w:r>
        <w:rPr>
          <w:rStyle w:val="VerbatimChar"/>
        </w:rPr>
        <w:t xml:space="preserve">FSC/PEFC認証林の面積拡大・持続可能な森林管理の強化</w:t>
      </w:r>
      <w:r>
        <w:br/>
      </w:r>
      <w:r>
        <w:rPr>
          <w:rStyle w:val="VerbatimChar"/>
        </w:rPr>
        <w:t xml:space="preserve">        ↓</w:t>
      </w:r>
      <w:r>
        <w:br/>
      </w:r>
      <w:r>
        <w:rPr>
          <w:rStyle w:val="VerbatimChar"/>
        </w:rPr>
        <w:t xml:space="preserve">森林炭素ストックの信頼性基盤が向上（StockC指標・動的評価の前提が強化）</w:t>
      </w:r>
      <w:r>
        <w:br/>
      </w:r>
      <w:r>
        <w:rPr>
          <w:rStyle w:val="VerbatimChar"/>
        </w:rPr>
        <w:t xml:space="preserve">        ↓</w:t>
      </w:r>
      <w:r>
        <w:br/>
      </w:r>
      <w:r>
        <w:rPr>
          <w:rStyle w:val="VerbatimChar"/>
        </w:rPr>
        <w:t xml:space="preserve">動的LCAの科学的前提（SFM維持）が強化される</w:t>
      </w:r>
      <w:r>
        <w:br/>
      </w:r>
      <w:r>
        <w:rPr>
          <w:rStyle w:val="VerbatimChar"/>
        </w:rPr>
        <w:t xml:space="preserve">        ↑（ループ）</w:t>
      </w:r>
    </w:p>
    <w:p>
      <w:pPr>
        <w:pStyle w:val="FirstParagraph"/>
      </w:pPr>
      <w:r>
        <w:t xml:space="preserve">この正のフィードバックループが、フランスにおいて気候政策・林業政策・建設産業政策の三者を連動させる制度的基盤となっている（Rivaton, 2025; 第1編報告書 §2.3）。</w:t>
      </w:r>
    </w:p>
    <w:p>
      <w:pPr>
        <w:pStyle w:val="Heading3"/>
      </w:pPr>
      <w:bookmarkStart w:id="119" w:name="主要な林業木材政策との具体的連動"/>
      <w:r>
        <w:t xml:space="preserve">6.3 主要な林業・木材政策との具体的連動</w:t>
      </w:r>
      <w:bookmarkEnd w:id="119"/>
    </w:p>
    <w:tbl>
      <w:tblPr>
        <w:tblStyle w:val="Table"/>
        <w:tblW w:type="pct" w:w="5000.0"/>
        <w:tblLook w:firstRow="1"/>
      </w:tblPr>
      <w:tblGrid>
        <w:gridCol w:w="1284"/>
        <w:gridCol w:w="4495"/>
        <w:gridCol w:w="2140"/>
      </w:tblGrid>
      <w:tr>
        <w:trPr>
          <w:cnfStyle w:firstRow="1"/>
        </w:trPr>
        <w:tc>
          <w:tcPr>
            <w:tcBorders>
              <w:bottom w:val="single"/>
            </w:tcBorders>
            <w:vAlign w:val="bottom"/>
          </w:tcPr>
          <w:p>
            <w:pPr>
              <w:pStyle w:val="Compact"/>
              <w:jc w:val="left"/>
            </w:pPr>
            <w:r>
              <w:t xml:space="preserve">政策</w:t>
            </w:r>
          </w:p>
        </w:tc>
        <w:tc>
          <w:tcPr>
            <w:tcBorders>
              <w:bottom w:val="single"/>
            </w:tcBorders>
            <w:vAlign w:val="bottom"/>
          </w:tcPr>
          <w:p>
            <w:pPr>
              <w:pStyle w:val="Compact"/>
              <w:jc w:val="left"/>
            </w:pPr>
            <w:r>
              <w:t xml:space="preserve">RE2020との接続ポイント</w:t>
            </w:r>
          </w:p>
        </w:tc>
        <w:tc>
          <w:tcPr>
            <w:tcBorders>
              <w:bottom w:val="single"/>
            </w:tcBorders>
            <w:vAlign w:val="bottom"/>
          </w:tcPr>
          <w:p>
            <w:pPr>
              <w:pStyle w:val="Compact"/>
              <w:jc w:val="left"/>
            </w:pPr>
            <w:r>
              <w:t xml:space="preserve">定量的効果</w:t>
            </w:r>
          </w:p>
        </w:tc>
      </w:tr>
      <w:tr>
        <w:tc>
          <w:p>
            <w:pPr>
              <w:pStyle w:val="Compact"/>
              <w:jc w:val="left"/>
            </w:pPr>
            <w:r>
              <w:rPr>
                <w:b/>
              </w:rPr>
              <w:t xml:space="preserve">France Bois 2024</w:t>
            </w:r>
            <w:r>
              <w:t xml:space="preserve">（国産木材利用計画）</w:t>
            </w:r>
          </w:p>
        </w:tc>
        <w:tc>
          <w:p>
            <w:pPr>
              <w:pStyle w:val="Compact"/>
              <w:jc w:val="left"/>
            </w:pPr>
            <w:r>
              <w:t xml:space="preserve">RE2020のseuil引き下げが木造設計の採用を促進</w:t>
            </w:r>
          </w:p>
        </w:tc>
        <w:tc>
          <w:p>
            <w:pPr>
              <w:pStyle w:val="Compact"/>
              <w:jc w:val="left"/>
            </w:pPr>
            <w:r>
              <w:t xml:space="preserve">木造建築着工比率の向上（具体数値要確認）</w:t>
            </w:r>
          </w:p>
        </w:tc>
      </w:tr>
      <w:tr>
        <w:tc>
          <w:p>
            <w:pPr>
              <w:pStyle w:val="Compact"/>
              <w:jc w:val="left"/>
            </w:pPr>
            <w:r>
              <w:rPr>
                <w:b/>
              </w:rPr>
              <w:t xml:space="preserve">気候レジリエンス法（loi n°2021-1104）第39条</w:t>
            </w:r>
          </w:p>
        </w:tc>
        <w:tc>
          <w:p>
            <w:pPr>
              <w:pStyle w:val="Compact"/>
              <w:jc w:val="left"/>
            </w:pPr>
            <w:r>
              <w:t xml:space="preserve">公共発注の新築・大規模改修に</w:t>
            </w:r>
            <w:r>
              <w:rPr>
                <w:b/>
              </w:rPr>
              <w:t xml:space="preserve">生物由来材等25%以上</w:t>
            </w:r>
            <w:r>
              <w:t xml:space="preserve">の使用を義務化（2030年1月施行予定）。RE2020のIc規制と組み合わせ木材利用を促進</w:t>
            </w:r>
          </w:p>
        </w:tc>
        <w:tc>
          <w:p>
            <w:pPr>
              <w:pStyle w:val="Compact"/>
              <w:jc w:val="left"/>
            </w:pPr>
            <w:r>
              <w:t xml:space="preserve">公共建築での木材・生物由来材比率の底上げ</w:t>
            </w:r>
          </w:p>
        </w:tc>
      </w:tr>
      <w:tr>
        <w:tc>
          <w:p>
            <w:pPr>
              <w:pStyle w:val="Compact"/>
              <w:jc w:val="left"/>
            </w:pPr>
            <w:r>
              <w:rPr>
                <w:b/>
              </w:rPr>
              <w:t xml:space="preserve">France 2030</w:t>
            </w:r>
            <w:r>
              <w:t xml:space="preserve">（木材産業関連投資）</w:t>
            </w:r>
          </w:p>
        </w:tc>
        <w:tc>
          <w:p>
            <w:pPr>
              <w:pStyle w:val="Compact"/>
              <w:jc w:val="left"/>
            </w:pPr>
            <w:r>
              <w:t xml:space="preserve">木材産業への投資（投資規模・対象は要確認）がFDES整備・EPD作成を支援</w:t>
            </w:r>
          </w:p>
        </w:tc>
        <w:tc>
          <w:p>
            <w:pPr>
              <w:pStyle w:val="Compact"/>
              <w:jc w:val="left"/>
            </w:pPr>
            <w:r>
              <w:t xml:space="preserve">FDESカバレッジの拡大</w:t>
            </w:r>
          </w:p>
        </w:tc>
      </w:tr>
      <w:tr>
        <w:tc>
          <w:p>
            <w:pPr>
              <w:pStyle w:val="Compact"/>
              <w:jc w:val="left"/>
            </w:pPr>
            <w:r>
              <w:rPr>
                <w:b/>
              </w:rPr>
              <w:t xml:space="preserve">PEFC/FSC認証拡大</w:t>
            </w:r>
          </w:p>
        </w:tc>
        <w:tc>
          <w:p>
            <w:pPr>
              <w:pStyle w:val="Compact"/>
              <w:jc w:val="left"/>
            </w:pPr>
            <w:r>
              <w:t xml:space="preserve">StockCのSFM前提をFDESデータで証明するための基盤</w:t>
            </w:r>
          </w:p>
        </w:tc>
        <w:tc>
          <w:p>
            <w:pPr>
              <w:pStyle w:val="Compact"/>
              <w:jc w:val="left"/>
            </w:pPr>
            <w:r>
              <w:t xml:space="preserve">バイオジェニック炭素クレジットの信頼性向上</w:t>
            </w:r>
          </w:p>
        </w:tc>
      </w:tr>
    </w:tbl>
    <w:p>
      <w:r>
        <w:pict>
          <v:rect style="width:0;height:1.5pt" o:hralign="center" o:hrstd="t" o:hr="t"/>
        </w:pict>
      </w:r>
    </w:p>
    <w:p>
      <w:pPr>
        <w:pStyle w:val="Heading2"/>
      </w:pPr>
      <w:bookmarkStart w:id="120" w:name="国際標準先行者戦略フランスの地政学的計算"/>
      <w:r>
        <w:t xml:space="preserve">7. 国際標準先行者戦略——フランスの地政学的計算</w:t>
      </w:r>
      <w:bookmarkEnd w:id="120"/>
    </w:p>
    <w:p>
      <w:pPr>
        <w:pStyle w:val="Heading3"/>
      </w:pPr>
      <w:bookmarkStart w:id="121" w:name="なぜ国際標準を先に形成する戦略が重要か"/>
      <w:r>
        <w:t xml:space="preserve">7.1 なぜ「国際標準を先に形成する」戦略が重要か</w:t>
      </w:r>
      <w:bookmarkEnd w:id="121"/>
    </w:p>
    <w:p>
      <w:pPr>
        <w:pStyle w:val="FirstParagraph"/>
      </w:pPr>
      <w:r>
        <w:t xml:space="preserve">国際標準は、それを先に策定した国が「自国の手法を世界標準として書き込む」機会である。フランスは以下の戦略的計算を持っていた：</w:t>
      </w:r>
    </w:p>
    <w:p>
      <w:pPr>
        <w:numPr>
          <w:ilvl w:val="0"/>
          <w:numId w:val="1024"/>
        </w:numPr>
      </w:pPr>
      <w:r>
        <w:rPr>
          <w:b/>
        </w:rPr>
        <w:t xml:space="preserve">欧州・国際標準化議論への主導参加:</w:t>
      </w:r>
      <w:r>
        <w:t xml:space="preserve"> </w:t>
      </w:r>
      <w:r>
        <w:t xml:space="preserve">AFNOR（フランス規格協会）を通じ、CEN/TC 350におけるEN 15978/EN 15804改訂等の標準化議論に参加。動的バイオジェニック炭素評価を直接規定する国際規格は未成立だが、RE2020の規制運用実績がフランスの発言力の基盤となっている。</w:t>
      </w:r>
    </w:p>
    <w:p>
      <w:pPr>
        <w:numPr>
          <w:ilvl w:val="0"/>
          <w:numId w:val="1024"/>
        </w:numPr>
      </w:pPr>
      <w:r>
        <w:rPr>
          <w:b/>
        </w:rPr>
        <w:t xml:space="preserve">EPBD 2024への影響力:</w:t>
      </w:r>
      <w:r>
        <w:t xml:space="preserve"> </w:t>
      </w:r>
      <w:r>
        <w:t xml:space="preserve">EU建築物エネルギー性能指令の2024年改正でWLC評価義務化が決まったが、方法論としてRE2020が「先行事例」として参照される。フランスが先に制度を持つことで、EU規格策定において自国方式を擁護しやすくなった。</w:t>
      </w:r>
    </w:p>
    <w:p>
      <w:pPr>
        <w:numPr>
          <w:ilvl w:val="0"/>
          <w:numId w:val="1024"/>
        </w:numPr>
      </w:pPr>
      <w:r>
        <w:rPr>
          <w:b/>
        </w:rPr>
        <w:t xml:space="preserve">EU議長国（2022年上半期）の活用:</w:t>
      </w:r>
      <w:r>
        <w:t xml:space="preserve"> </w:t>
      </w:r>
      <w:r>
        <w:t xml:space="preserve">RE2020施行と同時期にEU議長国となり、欧州建築環境政策の議題設定を主導した。</w:t>
      </w:r>
    </w:p>
    <w:p>
      <w:pPr>
        <w:pStyle w:val="Heading3"/>
      </w:pPr>
      <w:bookmarkStart w:id="122" w:name="国際展開の成果と限界"/>
      <w:r>
        <w:t xml:space="preserve">7.2 国際展開の成果と限界</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成果</w:t>
            </w:r>
          </w:p>
        </w:tc>
        <w:tc>
          <w:tcPr>
            <w:tcBorders>
              <w:bottom w:val="single"/>
            </w:tcBorders>
            <w:vAlign w:val="bottom"/>
          </w:tcPr>
          <w:p>
            <w:pPr>
              <w:pStyle w:val="Compact"/>
              <w:jc w:val="left"/>
            </w:pPr>
            <w:r>
              <w:t xml:space="preserve">内容</w:t>
            </w:r>
          </w:p>
        </w:tc>
      </w:tr>
      <w:tr>
        <w:tc>
          <w:p>
            <w:pPr>
              <w:pStyle w:val="Compact"/>
              <w:jc w:val="left"/>
            </w:pPr>
            <w:r>
              <w:t xml:space="preserve">標準化議論への影響力</w:t>
            </w:r>
          </w:p>
        </w:tc>
        <w:tc>
          <w:p>
            <w:pPr>
              <w:pStyle w:val="Compact"/>
              <w:jc w:val="left"/>
            </w:pPr>
            <w:r>
              <w:t xml:space="preserve">動的LCAの規制運用実績を持つ唯一の国として、CEN/TC 350等の規格改訂議論に先行知見を提供</w:t>
            </w:r>
          </w:p>
        </w:tc>
      </w:tr>
      <w:tr>
        <w:tc>
          <w:p>
            <w:pPr>
              <w:pStyle w:val="Compact"/>
              <w:jc w:val="left"/>
            </w:pPr>
            <w:r>
              <w:t xml:space="preserve">EPBD 2024参照事例</w:t>
            </w:r>
          </w:p>
        </w:tc>
        <w:tc>
          <w:p>
            <w:pPr>
              <w:pStyle w:val="Compact"/>
              <w:jc w:val="left"/>
            </w:pPr>
            <w:r>
              <w:t xml:space="preserve">EU全域WLC義務化の方法論的先例として位置づけ</w:t>
            </w:r>
          </w:p>
        </w:tc>
      </w:tr>
      <w:tr>
        <w:tc>
          <w:p>
            <w:pPr>
              <w:pStyle w:val="Compact"/>
              <w:jc w:val="left"/>
            </w:pPr>
            <w:r>
              <w:t xml:space="preserve">EU建築部門炭素規制の先行実装</w:t>
            </w:r>
          </w:p>
        </w:tc>
        <w:tc>
          <w:p>
            <w:pPr>
              <w:pStyle w:val="Compact"/>
              <w:jc w:val="left"/>
            </w:pPr>
            <w:r>
              <w:t xml:space="preserve">スウェーデン・ドイツ等が静的LCA段階の中、フランスが3年先行</w:t>
            </w:r>
          </w:p>
        </w:tc>
      </w:tr>
    </w:tbl>
    <w:tbl>
      <w:tblPr>
        <w:tblStyle w:val="Table"/>
        <w:tblW w:type="pct" w:w="5000.0"/>
        <w:tblLook w:firstRow="1"/>
      </w:tblPr>
      <w:tblGrid>
        <w:gridCol w:w="5124"/>
        <w:gridCol w:w="2795"/>
      </w:tblGrid>
      <w:tr>
        <w:trPr>
          <w:cnfStyle w:firstRow="1"/>
        </w:trPr>
        <w:tc>
          <w:tcPr>
            <w:tcBorders>
              <w:bottom w:val="single"/>
            </w:tcBorders>
            <w:vAlign w:val="bottom"/>
          </w:tcPr>
          <w:p>
            <w:pPr>
              <w:pStyle w:val="Compact"/>
              <w:jc w:val="left"/>
            </w:pPr>
            <w:r>
              <w:t xml:space="preserve">限界・課題</w:t>
            </w:r>
          </w:p>
        </w:tc>
        <w:tc>
          <w:tcPr>
            <w:tcBorders>
              <w:bottom w:val="single"/>
            </w:tcBorders>
            <w:vAlign w:val="bottom"/>
          </w:tcPr>
          <w:p>
            <w:pPr>
              <w:pStyle w:val="Compact"/>
              <w:jc w:val="left"/>
            </w:pPr>
            <w:r>
              <w:t xml:space="preserve">内容</w:t>
            </w:r>
          </w:p>
        </w:tc>
      </w:tr>
      <w:tr>
        <w:tc>
          <w:p>
            <w:pPr>
              <w:pStyle w:val="Compact"/>
              <w:jc w:val="left"/>
            </w:pPr>
            <w:r>
              <w:t xml:space="preserve">EN 15804との哲学的相違</w:t>
            </w:r>
          </w:p>
        </w:tc>
        <w:tc>
          <w:p>
            <w:pPr>
              <w:pStyle w:val="Compact"/>
              <w:jc w:val="left"/>
            </w:pPr>
            <w:r>
              <w:t xml:space="preserve">EUの建材EPD規格（EN 15804）は静的LCAベースのまま。RE2020との手法整合が産業界に混乱</w:t>
            </w:r>
          </w:p>
        </w:tc>
      </w:tr>
      <w:tr>
        <w:tc>
          <w:p>
            <w:pPr>
              <w:pStyle w:val="Compact"/>
              <w:jc w:val="left"/>
            </w:pPr>
            <w:r>
              <w:t xml:space="preserve">非線形DCFとの乖離</w:t>
            </w:r>
          </w:p>
        </w:tc>
        <w:tc>
          <w:p>
            <w:pPr>
              <w:pStyle w:val="Compact"/>
              <w:jc w:val="left"/>
            </w:pPr>
            <w:r>
              <w:t xml:space="preserve">学術的にはRE2020より精密な非線形DCF（可変DO）が提案されており、将来規格化された場合はフランス国内制度の「アップグレード」が必要になる可能性</w:t>
            </w:r>
          </w:p>
        </w:tc>
      </w:tr>
    </w:tbl>
    <w:p>
      <w:pPr>
        <w:pStyle w:val="Heading3"/>
      </w:pPr>
      <w:bookmarkStart w:id="123" w:name="各国の建築物炭素規制の比較動的lcaはフランスだけという重要事実"/>
      <w:r>
        <w:t xml:space="preserve">7.3 各国の建築物炭素規制の比較——「動的LCAはフランスだけ」という重要事実</w:t>
      </w:r>
      <w:bookmarkEnd w:id="123"/>
    </w:p>
    <w:p>
      <w:pPr>
        <w:pStyle w:val="FirstParagraph"/>
      </w:pPr>
      <w:r>
        <w:t xml:space="preserve">日本の制度設計判断にあたり最も重要な事実は、</w:t>
      </w:r>
      <w:r>
        <w:rPr>
          <w:b/>
        </w:rPr>
        <w:t xml:space="preserve">ライフサイクル炭素を「国家規制」として義務化した国は複数あるが、その中で動的LCA（排出タイミングの重み付け）を採用しているのはフランスのみ</w:t>
      </w:r>
      <w:r>
        <w:t xml:space="preserve">である点である。先行する規制国はすべて静的LCAを採用している。一方、</w:t>
      </w:r>
      <w:r>
        <w:rPr>
          <w:b/>
        </w:rPr>
        <w:t xml:space="preserve">規制ではない自主基準・研究レベルでは、動的LCAは複数国で採用が進んでいる</w:t>
      </w:r>
      <w:r>
        <w:t xml:space="preserve">（ノルウェー・米国等）。この「規制か／自主・研究か」の区別が判断上きわめて重要である。</w:t>
      </w:r>
    </w:p>
    <w:p>
      <w:pPr>
        <w:pStyle w:val="Heading4"/>
      </w:pPr>
      <w:bookmarkStart w:id="124" w:name="a-国家規制義務レベル"/>
      <w:r>
        <w:t xml:space="preserve">(a) 国家規制（義務）レベル</w:t>
      </w:r>
      <w:bookmarkEnd w:id="124"/>
    </w:p>
    <w:tbl>
      <w:tblPr>
        <w:tblStyle w:val="Table"/>
        <w:tblW w:type="pct" w:w="5000.0"/>
        <w:tblLook w:firstRow="1"/>
      </w:tblPr>
      <w:tblGrid>
        <w:gridCol w:w="792"/>
        <w:gridCol w:w="2772"/>
        <w:gridCol w:w="1188"/>
        <w:gridCol w:w="1980"/>
        <w:gridCol w:w="1188"/>
      </w:tblGrid>
      <w:tr>
        <w:trPr>
          <w:cnfStyle w:firstRow="1"/>
        </w:trPr>
        <w:tc>
          <w:tcPr>
            <w:tcBorders>
              <w:bottom w:val="single"/>
            </w:tcBorders>
            <w:vAlign w:val="bottom"/>
          </w:tcPr>
          <w:p>
            <w:pPr>
              <w:pStyle w:val="Compact"/>
              <w:jc w:val="left"/>
            </w:pPr>
            <w:r>
              <w:t xml:space="preserve">国</w:t>
            </w:r>
          </w:p>
        </w:tc>
        <w:tc>
          <w:tcPr>
            <w:tcBorders>
              <w:bottom w:val="single"/>
            </w:tcBorders>
            <w:vAlign w:val="bottom"/>
          </w:tcPr>
          <w:p>
            <w:pPr>
              <w:pStyle w:val="Compact"/>
              <w:jc w:val="left"/>
            </w:pPr>
            <w:r>
              <w:t xml:space="preserve">制度（開始年）</w:t>
            </w:r>
          </w:p>
        </w:tc>
        <w:tc>
          <w:tcPr>
            <w:tcBorders>
              <w:bottom w:val="single"/>
            </w:tcBorders>
            <w:vAlign w:val="bottom"/>
          </w:tcPr>
          <w:p>
            <w:pPr>
              <w:pStyle w:val="Compact"/>
              <w:jc w:val="left"/>
            </w:pPr>
            <w:r>
              <w:t xml:space="preserve">手法</w:t>
            </w:r>
          </w:p>
        </w:tc>
        <w:tc>
          <w:tcPr>
            <w:tcBorders>
              <w:bottom w:val="single"/>
            </w:tcBorders>
            <w:vAlign w:val="bottom"/>
          </w:tcPr>
          <w:p>
            <w:pPr>
              <w:pStyle w:val="Compact"/>
              <w:jc w:val="left"/>
            </w:pPr>
            <w:r>
              <w:t xml:space="preserve">規制値の例</w:t>
            </w:r>
          </w:p>
        </w:tc>
        <w:tc>
          <w:tcPr>
            <w:tcBorders>
              <w:bottom w:val="single"/>
            </w:tcBorders>
            <w:vAlign w:val="bottom"/>
          </w:tcPr>
          <w:p>
            <w:pPr>
              <w:pStyle w:val="Compact"/>
              <w:jc w:val="left"/>
            </w:pPr>
            <w:r>
              <w:t xml:space="preserve">特徴</w:t>
            </w:r>
          </w:p>
        </w:tc>
      </w:tr>
      <w:tr>
        <w:tc>
          <w:p>
            <w:pPr>
              <w:pStyle w:val="Compact"/>
              <w:jc w:val="left"/>
            </w:pPr>
            <w:r>
              <w:rPr>
                <w:b/>
              </w:rPr>
              <w:t xml:space="preserve">オランダ</w:t>
            </w:r>
          </w:p>
        </w:tc>
        <w:tc>
          <w:p>
            <w:pPr>
              <w:pStyle w:val="Compact"/>
              <w:jc w:val="left"/>
            </w:pPr>
            <w:r>
              <w:t xml:space="preserve">MPG（2013年義務化、2018年に上限値導入）</w:t>
            </w:r>
          </w:p>
        </w:tc>
        <w:tc>
          <w:p>
            <w:pPr>
              <w:pStyle w:val="Compact"/>
              <w:jc w:val="left"/>
            </w:pPr>
            <w:r>
              <w:t xml:space="preserve">静的LCA</w:t>
            </w:r>
          </w:p>
        </w:tc>
        <w:tc>
          <w:p>
            <w:pPr>
              <w:pStyle w:val="Compact"/>
              <w:jc w:val="left"/>
            </w:pPr>
            <w:r>
              <w:t xml:space="preserve">環境コスト指標（€/m²/年）。住宅0.8等</w:t>
            </w:r>
          </w:p>
        </w:tc>
        <w:tc>
          <w:p>
            <w:pPr>
              <w:pStyle w:val="Compact"/>
              <w:jc w:val="left"/>
            </w:pPr>
            <w:r>
              <w:t xml:space="preserve">エンボディド環境性能を最初に義務化した国。炭素単独でなく統合環境指標</w:t>
            </w:r>
          </w:p>
        </w:tc>
      </w:tr>
      <w:tr>
        <w:tc>
          <w:p>
            <w:pPr>
              <w:pStyle w:val="Compact"/>
              <w:jc w:val="left"/>
            </w:pPr>
            <w:r>
              <w:rPr>
                <w:b/>
              </w:rPr>
              <w:t xml:space="preserve">フランス</w:t>
            </w:r>
          </w:p>
        </w:tc>
        <w:tc>
          <w:p>
            <w:pPr>
              <w:pStyle w:val="Compact"/>
              <w:jc w:val="left"/>
            </w:pPr>
            <w:r>
              <w:t xml:space="preserve">RE2020（2022年）</w:t>
            </w:r>
          </w:p>
        </w:tc>
        <w:tc>
          <w:p>
            <w:pPr>
              <w:pStyle w:val="Compact"/>
              <w:jc w:val="left"/>
            </w:pPr>
            <w:r>
              <w:rPr>
                <w:b/>
              </w:rPr>
              <w:t xml:space="preserve">動的LCA（簡易）</w:t>
            </w:r>
          </w:p>
        </w:tc>
        <w:tc>
          <w:p>
            <w:pPr>
              <w:pStyle w:val="Compact"/>
              <w:jc w:val="left"/>
            </w:pPr>
            <w:r>
              <w:t xml:space="preserve">Ic construction 640〜980 kgCO₂eq/m²（用途別・50年）</w:t>
            </w:r>
          </w:p>
        </w:tc>
        <w:tc>
          <w:p>
            <w:pPr>
              <w:pStyle w:val="Compact"/>
              <w:jc w:val="left"/>
            </w:pPr>
            <w:r>
              <w:rPr>
                <w:b/>
              </w:rPr>
              <w:t xml:space="preserve">唯一の動的LCAを義務化した国</w:t>
            </w:r>
            <w:r>
              <w:t xml:space="preserve">。木材の時間貯蔵を制度評価</w:t>
            </w:r>
          </w:p>
        </w:tc>
      </w:tr>
      <w:tr>
        <w:tc>
          <w:p>
            <w:pPr>
              <w:pStyle w:val="Compact"/>
              <w:jc w:val="left"/>
            </w:pPr>
            <w:r>
              <w:rPr>
                <w:b/>
              </w:rPr>
              <w:t xml:space="preserve">スウェーデン</w:t>
            </w:r>
          </w:p>
        </w:tc>
        <w:tc>
          <w:p>
            <w:pPr>
              <w:pStyle w:val="Compact"/>
              <w:jc w:val="left"/>
            </w:pPr>
            <w:r>
              <w:t xml:space="preserve">Klimatdeklaration（2022年）</w:t>
            </w:r>
          </w:p>
        </w:tc>
        <w:tc>
          <w:p>
            <w:pPr>
              <w:pStyle w:val="Compact"/>
              <w:jc w:val="left"/>
            </w:pPr>
            <w:r>
              <w:t xml:space="preserve">静的LCA</w:t>
            </w:r>
          </w:p>
        </w:tc>
        <w:tc>
          <w:p>
            <w:pPr>
              <w:pStyle w:val="Compact"/>
              <w:jc w:val="left"/>
            </w:pPr>
            <w:r>
              <w:t xml:space="preserve">当初は申告義務のみ（上限値は2027年予定）</w:t>
            </w:r>
          </w:p>
        </w:tc>
        <w:tc>
          <w:p>
            <w:pPr>
              <w:pStyle w:val="Compact"/>
              <w:jc w:val="left"/>
            </w:pPr>
            <w:r>
              <w:t xml:space="preserve">まず「測る・申告する」から開始する段階的アプローチ</w:t>
            </w:r>
          </w:p>
        </w:tc>
      </w:tr>
      <w:tr>
        <w:tc>
          <w:p>
            <w:pPr>
              <w:pStyle w:val="Compact"/>
              <w:jc w:val="left"/>
            </w:pPr>
            <w:r>
              <w:rPr>
                <w:b/>
              </w:rPr>
              <w:t xml:space="preserve">デンマーク</w:t>
            </w:r>
          </w:p>
        </w:tc>
        <w:tc>
          <w:p>
            <w:pPr>
              <w:pStyle w:val="Compact"/>
              <w:jc w:val="left"/>
            </w:pPr>
            <w:r>
              <w:t xml:space="preserve">Bygningsreglementet/BR18改正（2023年）</w:t>
            </w:r>
          </w:p>
        </w:tc>
        <w:tc>
          <w:p>
            <w:pPr>
              <w:pStyle w:val="Compact"/>
              <w:jc w:val="left"/>
            </w:pPr>
            <w:r>
              <w:t xml:space="preserve">静的LCA</w:t>
            </w:r>
          </w:p>
        </w:tc>
        <w:tc>
          <w:p>
            <w:pPr>
              <w:pStyle w:val="Compact"/>
              <w:jc w:val="left"/>
            </w:pPr>
            <w:r>
              <w:t xml:space="preserve">全用途 7.1 kgCO₂eq/m²/年（2025年7月〜。2023年は&gt;1,000m²に12 kg）</w:t>
            </w:r>
          </w:p>
        </w:tc>
        <w:tc>
          <w:p>
            <w:pPr>
              <w:pStyle w:val="Compact"/>
              <w:jc w:val="left"/>
            </w:pPr>
            <w:r>
              <w:t xml:space="preserve">年あたり kgCO₂eq/m²/年 で表現。隔年で厳格化</w:t>
            </w:r>
          </w:p>
        </w:tc>
      </w:tr>
      <w:tr>
        <w:tc>
          <w:p>
            <w:pPr>
              <w:pStyle w:val="Compact"/>
              <w:jc w:val="left"/>
            </w:pPr>
            <w:r>
              <w:rPr>
                <w:b/>
              </w:rPr>
              <w:t xml:space="preserve">フィンランド</w:t>
            </w:r>
          </w:p>
        </w:tc>
        <w:tc>
          <w:p>
            <w:pPr>
              <w:pStyle w:val="Compact"/>
              <w:jc w:val="left"/>
            </w:pPr>
            <w:r>
              <w:t xml:space="preserve">建築法改正（2025年〜）</w:t>
            </w:r>
          </w:p>
        </w:tc>
        <w:tc>
          <w:p>
            <w:pPr>
              <w:pStyle w:val="Compact"/>
              <w:jc w:val="left"/>
            </w:pPr>
            <w:r>
              <w:t xml:space="preserve">静的LCA</w:t>
            </w:r>
          </w:p>
        </w:tc>
        <w:tc>
          <w:p>
            <w:pPr>
              <w:pStyle w:val="Compact"/>
              <w:jc w:val="left"/>
            </w:pPr>
            <w:r>
              <w:t xml:space="preserve">用途別上限値</w:t>
            </w:r>
          </w:p>
        </w:tc>
        <w:tc>
          <w:p>
            <w:pPr>
              <w:pStyle w:val="Compact"/>
              <w:jc w:val="left"/>
            </w:pPr>
            <w:r>
              <w:t xml:space="preserve">北欧の同期的導入の一環</w:t>
            </w:r>
          </w:p>
        </w:tc>
      </w:tr>
      <w:tr>
        <w:tc>
          <w:p>
            <w:pPr>
              <w:pStyle w:val="Compact"/>
              <w:jc w:val="left"/>
            </w:pPr>
            <w:r>
              <w:rPr>
                <w:b/>
              </w:rPr>
              <w:t xml:space="preserve">EU全体</w:t>
            </w:r>
          </w:p>
        </w:tc>
        <w:tc>
          <w:p>
            <w:pPr>
              <w:pStyle w:val="Compact"/>
              <w:jc w:val="left"/>
            </w:pPr>
            <w:r>
              <w:t xml:space="preserve">EPBD改正（2024/1275）</w:t>
            </w:r>
          </w:p>
        </w:tc>
        <w:tc>
          <w:p>
            <w:pPr>
              <w:pStyle w:val="Compact"/>
              <w:jc w:val="left"/>
            </w:pPr>
            <w:r>
              <w:t xml:space="preserve">手法はCEN委任（静的GWP基盤）</w:t>
            </w:r>
          </w:p>
        </w:tc>
        <w:tc>
          <w:p>
            <w:pPr>
              <w:pStyle w:val="Compact"/>
              <w:jc w:val="left"/>
            </w:pPr>
            <w:r>
              <w:t xml:space="preserve">2028年:大規模建物、2030年:全新築でWLC開示義務</w:t>
            </w:r>
          </w:p>
        </w:tc>
        <w:tc>
          <w:p>
            <w:pPr>
              <w:pStyle w:val="Compact"/>
              <w:jc w:val="left"/>
            </w:pPr>
            <w:r>
              <w:t xml:space="preserve">上限規制は各国裁量。手法詳細はEN改訂待ち</w:t>
            </w:r>
          </w:p>
        </w:tc>
      </w:tr>
    </w:tbl>
    <w:p>
      <w:pPr>
        <w:pStyle w:val="Heading4"/>
      </w:pPr>
      <w:bookmarkStart w:id="125" w:name="b-自主基準研究ツール開発レベル規制ではない"/>
      <w:r>
        <w:t xml:space="preserve">(b) 自主基準・研究・ツール開発レベル（規制ではない）</w:t>
      </w:r>
      <w:bookmarkEnd w:id="125"/>
    </w:p>
    <w:tbl>
      <w:tblPr>
        <w:tblStyle w:val="Table"/>
        <w:tblW w:type="pct" w:w="5000.0"/>
        <w:tblLook w:firstRow="1"/>
      </w:tblPr>
      <w:tblGrid>
        <w:gridCol w:w="1250"/>
        <w:gridCol w:w="2917"/>
        <w:gridCol w:w="1250"/>
        <w:gridCol w:w="1250"/>
        <w:gridCol w:w="1250"/>
      </w:tblGrid>
      <w:tr>
        <w:trPr>
          <w:cnfStyle w:firstRow="1"/>
        </w:trPr>
        <w:tc>
          <w:tcPr>
            <w:tcBorders>
              <w:bottom w:val="single"/>
            </w:tcBorders>
            <w:vAlign w:val="bottom"/>
          </w:tcPr>
          <w:p>
            <w:pPr>
              <w:pStyle w:val="Compact"/>
              <w:jc w:val="left"/>
            </w:pPr>
            <w:r>
              <w:t xml:space="preserve">主体</w:t>
            </w:r>
          </w:p>
        </w:tc>
        <w:tc>
          <w:tcPr>
            <w:tcBorders>
              <w:bottom w:val="single"/>
            </w:tcBorders>
            <w:vAlign w:val="bottom"/>
          </w:tcPr>
          <w:p>
            <w:pPr>
              <w:pStyle w:val="Compact"/>
              <w:jc w:val="left"/>
            </w:pPr>
            <w:r>
              <w:t xml:space="preserve">取組（開始年）</w:t>
            </w:r>
          </w:p>
        </w:tc>
        <w:tc>
          <w:tcPr>
            <w:tcBorders>
              <w:bottom w:val="single"/>
            </w:tcBorders>
            <w:vAlign w:val="bottom"/>
          </w:tcPr>
          <w:p>
            <w:pPr>
              <w:pStyle w:val="Compact"/>
              <w:jc w:val="left"/>
            </w:pPr>
            <w:r>
              <w:t xml:space="preserve">手法</w:t>
            </w:r>
          </w:p>
        </w:tc>
        <w:tc>
          <w:tcPr>
            <w:tcBorders>
              <w:bottom w:val="single"/>
            </w:tcBorders>
            <w:vAlign w:val="bottom"/>
          </w:tcPr>
          <w:p>
            <w:pPr>
              <w:pStyle w:val="Compact"/>
              <w:jc w:val="left"/>
            </w:pPr>
            <w:r>
              <w:t xml:space="preserve">性格</w:t>
            </w:r>
          </w:p>
        </w:tc>
        <w:tc>
          <w:tcPr>
            <w:tcBorders>
              <w:bottom w:val="single"/>
            </w:tcBorders>
            <w:vAlign w:val="bottom"/>
          </w:tcPr>
          <w:p>
            <w:pPr>
              <w:pStyle w:val="Compact"/>
              <w:jc w:val="left"/>
            </w:pPr>
            <w:r>
              <w:t xml:space="preserve">特徴</w:t>
            </w:r>
          </w:p>
        </w:tc>
      </w:tr>
      <w:tr>
        <w:tc>
          <w:p>
            <w:pPr>
              <w:pStyle w:val="Compact"/>
              <w:jc w:val="left"/>
            </w:pPr>
            <w:r>
              <w:rPr>
                <w:b/>
              </w:rPr>
              <w:t xml:space="preserve">ノルウェー</w:t>
            </w:r>
          </w:p>
        </w:tc>
        <w:tc>
          <w:p>
            <w:pPr>
              <w:pStyle w:val="Compact"/>
              <w:jc w:val="left"/>
            </w:pPr>
            <w:r>
              <w:rPr>
                <w:b/>
              </w:rPr>
              <w:t xml:space="preserve">FutureBuilt ZERO</w:t>
            </w:r>
            <w:r>
              <w:t xml:space="preserve">（2022年、SINTEF開発）</w:t>
            </w:r>
          </w:p>
        </w:tc>
        <w:tc>
          <w:p>
            <w:pPr>
              <w:pStyle w:val="Compact"/>
              <w:jc w:val="left"/>
            </w:pPr>
            <w:r>
              <w:rPr>
                <w:b/>
              </w:rPr>
              <w:t xml:space="preserve">動的LCA（簡易、時間依存特性化係数）</w:t>
            </w:r>
          </w:p>
        </w:tc>
        <w:tc>
          <w:p>
            <w:pPr>
              <w:pStyle w:val="Compact"/>
              <w:jc w:val="left"/>
            </w:pPr>
            <w:r>
              <w:t xml:space="preserve">オスロ圏の</w:t>
            </w:r>
            <w:r>
              <w:rPr>
                <w:b/>
              </w:rPr>
              <w:t xml:space="preserve">自主パイロット基準</w:t>
            </w:r>
            <w:r>
              <w:t xml:space="preserve">（規制ではない）</w:t>
            </w:r>
          </w:p>
        </w:tc>
        <w:tc>
          <w:p>
            <w:pPr>
              <w:pStyle w:val="Compact"/>
              <w:jc w:val="left"/>
            </w:pPr>
            <w:r>
              <w:t xml:space="preserve">評価期間60年。基準建物比</w:t>
            </w:r>
            <w:r>
              <w:rPr>
                <w:b/>
              </w:rPr>
              <w:t xml:space="preserve">GHG50%削減</w:t>
            </w:r>
            <w:r>
              <w:t xml:space="preserve">を要件化。生物由来炭素・セメント炭酸化・再利用可能性も算入。RE2020と同じ「簡易動的」系統だが要件設計は独自</w:t>
            </w:r>
          </w:p>
        </w:tc>
      </w:tr>
      <w:tr>
        <w:tc>
          <w:p>
            <w:pPr>
              <w:pStyle w:val="Compact"/>
              <w:jc w:val="left"/>
            </w:pPr>
            <w:r>
              <w:rPr>
                <w:b/>
              </w:rPr>
              <w:t xml:space="preserve">米国</w:t>
            </w:r>
          </w:p>
        </w:tc>
        <w:tc>
          <w:p>
            <w:pPr>
              <w:pStyle w:val="Compact"/>
              <w:jc w:val="left"/>
            </w:pPr>
            <w:r>
              <w:rPr>
                <w:b/>
              </w:rPr>
              <w:t xml:space="preserve">POD|LCA</w:t>
            </w:r>
            <w:r>
              <w:t xml:space="preserve">（Parametric Open Data for LCA、2023年〜）</w:t>
            </w:r>
          </w:p>
        </w:tc>
        <w:tc>
          <w:p>
            <w:pPr>
              <w:pStyle w:val="Compact"/>
              <w:jc w:val="left"/>
            </w:pPr>
            <w:r>
              <w:rPr>
                <w:b/>
              </w:rPr>
              <w:t xml:space="preserve">動的LCA・time-explicit LCA</w:t>
            </w:r>
            <w:r>
              <w:t xml:space="preserve">を枠組みに包含</w:t>
            </w:r>
          </w:p>
        </w:tc>
        <w:tc>
          <w:p>
            <w:pPr>
              <w:pStyle w:val="Compact"/>
              <w:jc w:val="left"/>
            </w:pPr>
            <w:r>
              <w:t xml:space="preserve">Carbon Leadership Forum＋ワシントン大の</w:t>
            </w:r>
            <w:r>
              <w:rPr>
                <w:b/>
              </w:rPr>
              <w:t xml:space="preserve">研究・ツール開発</w:t>
            </w:r>
            <w:r>
              <w:t xml:space="preserve">（約$3.7M／4年）。規制ではない</w:t>
            </w:r>
          </w:p>
        </w:tc>
        <w:tc>
          <w:p>
            <w:pPr>
              <w:pStyle w:val="Compact"/>
              <w:jc w:val="left"/>
            </w:pPr>
            <w:r>
              <w:t xml:space="preserve">生物由来炭素・動的LCA・炭素貯蔵を全ライフサイクルで扱う比較LCAフレームワーク。米国に建築炭素の国家規制はなく、州・自治体のBuy Clean等は静的EPDベース</w:t>
            </w:r>
          </w:p>
        </w:tc>
      </w:tr>
    </w:tbl>
    <w:p>
      <w:pPr>
        <w:pStyle w:val="BlockText"/>
      </w:pPr>
      <w:r>
        <w:rPr>
          <w:b/>
        </w:rPr>
        <w:t xml:space="preserve">判断材料としての含意:</w:t>
      </w:r>
      <w:r>
        <w:t xml:space="preserve"> </w:t>
      </w:r>
      <w:r>
        <w:t xml:space="preserve">1.</w:t>
      </w:r>
      <w:r>
        <w:t xml:space="preserve"> </w:t>
      </w:r>
      <w:r>
        <w:rPr>
          <w:b/>
        </w:rPr>
        <w:t xml:space="preserve">「規制」の主流は静的LCA、「自主・研究」では動的LCAが拡大中</w:t>
      </w:r>
      <w:r>
        <w:t xml:space="preserve">という二層構造がある。義務規制で動的LCAを採るのはフランスのみだが、ノルウェーFutureBuilt ZERO（自主）・米国POD|LCA（研究）のように、より柔軟な枠組みでは動的LCAが採用されつつある。</w:t>
      </w:r>
      <w:r>
        <w:rPr>
          <w:b/>
        </w:rPr>
        <w:t xml:space="preserve">日本が動的LCAを検討する場合、いきなり規制化するフランス型より、まず自主基準・実証ツールで導入するノルウェー/米国型の方が、現状（データ基盤未整備）に適合し得る。</w:t>
      </w:r>
      <w:r>
        <w:t xml:space="preserve"> </w:t>
      </w:r>
      <w:r>
        <w:t xml:space="preserve">2. FutureBuilt ZEROもRE2020と同じ「簡易動的（時間依存特性化係数）」系統だが、評価期間（60年 vs 50年）・要件（相対50%削減 vs 絶対seuil）が異なる。</w:t>
      </w:r>
      <w:r>
        <w:rPr>
          <w:b/>
        </w:rPr>
        <w:t xml:space="preserve">動的LCAにも複数の設計流派があり、「動的LCA＝RE2020方式」ではない。</w:t>
      </w:r>
      <w:r>
        <w:t xml:space="preserve"> </w:t>
      </w:r>
      <w:r>
        <w:t xml:space="preserve">3. デンマークの「kgCO₂eq/m²/</w:t>
      </w:r>
      <w:r>
        <w:rPr>
          <w:b/>
        </w:rPr>
        <w:t xml:space="preserve">年</w:t>
      </w:r>
      <w:r>
        <w:t xml:space="preserve">」とフランスの「kgCO₂eq/m²（50年）」のように、</w:t>
      </w:r>
      <w:r>
        <w:rPr>
          <w:b/>
        </w:rPr>
        <w:t xml:space="preserve">規制値の単位・正規化方法すら国際的に未統一</w:t>
      </w:r>
      <w:r>
        <w:t xml:space="preserve">である。動的か静的か以前の、より基礎的な制度設計論点が国際的に未収束であることを示す。</w:t>
      </w:r>
      <w:r>
        <w:t xml:space="preserve"> </w:t>
      </w:r>
      <w:r>
        <w:t xml:space="preserve">4. 「測る・申告する」から始めて数年後に上限値を導入したスウェーデン方式、自主基準から入るノルウェー方式は、いずれもデータ基盤が未整備な国にとって現実的な移行経路の一例である。</w:t>
      </w:r>
    </w:p>
    <w:p>
      <w:r>
        <w:pict>
          <v:rect style="width:0;height:1.5pt" o:hralign="center" o:hrstd="t" o:hr="t"/>
        </w:pict>
      </w:r>
    </w:p>
    <w:p>
      <w:pPr>
        <w:pStyle w:val="Heading2"/>
      </w:pPr>
      <w:bookmarkStart w:id="126" w:name="日本への示唆-2"/>
      <w:r>
        <w:t xml:space="preserve">8. 日本への示唆</w:t>
      </w:r>
      <w:bookmarkEnd w:id="126"/>
    </w:p>
    <w:p>
      <w:pPr>
        <w:pStyle w:val="Heading3"/>
      </w:pPr>
      <w:bookmarkStart w:id="127" w:name="フランスの成功要因の日本への転用可能性"/>
      <w:r>
        <w:t xml:space="preserve">8.1 フランスの成功要因の日本への転用可能性</w:t>
      </w:r>
      <w:bookmarkEnd w:id="127"/>
    </w:p>
    <w:tbl>
      <w:tblPr>
        <w:tblStyle w:val="Table"/>
        <w:tblW w:type="pct" w:w="5000.0"/>
        <w:tblLook w:firstRow="1"/>
      </w:tblPr>
      <w:tblGrid>
        <w:gridCol w:w="3638"/>
        <w:gridCol w:w="2140"/>
        <w:gridCol w:w="2140"/>
      </w:tblGrid>
      <w:tr>
        <w:trPr>
          <w:cnfStyle w:firstRow="1"/>
        </w:trPr>
        <w:tc>
          <w:tcPr>
            <w:tcBorders>
              <w:bottom w:val="single"/>
            </w:tcBorders>
            <w:vAlign w:val="bottom"/>
          </w:tcPr>
          <w:p>
            <w:pPr>
              <w:pStyle w:val="Compact"/>
              <w:jc w:val="left"/>
            </w:pPr>
            <w:r>
              <w:t xml:space="preserve">フランスの成功要因</w:t>
            </w:r>
          </w:p>
        </w:tc>
        <w:tc>
          <w:tcPr>
            <w:tcBorders>
              <w:bottom w:val="single"/>
            </w:tcBorders>
            <w:vAlign w:val="bottom"/>
          </w:tcPr>
          <w:p>
            <w:pPr>
              <w:pStyle w:val="Compact"/>
              <w:jc w:val="left"/>
            </w:pPr>
            <w:r>
              <w:t xml:space="preserve">日本の現状</w:t>
            </w:r>
          </w:p>
        </w:tc>
        <w:tc>
          <w:tcPr>
            <w:tcBorders>
              <w:bottom w:val="single"/>
            </w:tcBorders>
            <w:vAlign w:val="bottom"/>
          </w:tcPr>
          <w:p>
            <w:pPr>
              <w:pStyle w:val="Compact"/>
              <w:jc w:val="left"/>
            </w:pPr>
            <w:r>
              <w:t xml:space="preserve">転用可能性</w:t>
            </w:r>
          </w:p>
        </w:tc>
      </w:tr>
      <w:tr>
        <w:tc>
          <w:p>
            <w:pPr>
              <w:pStyle w:val="Compact"/>
              <w:jc w:val="left"/>
            </w:pPr>
            <w:r>
              <w:rPr>
                <w:b/>
              </w:rPr>
              <w:t xml:space="preserve">E+C-型の実証プログラム</w:t>
            </w:r>
          </w:p>
        </w:tc>
        <w:tc>
          <w:p>
            <w:pPr>
              <w:pStyle w:val="Compact"/>
              <w:jc w:val="left"/>
            </w:pPr>
            <w:r>
              <w:t xml:space="preserve">CASBEE等の任意認証はあるが動的LCA実証は未実施</w:t>
            </w:r>
          </w:p>
        </w:tc>
        <w:tc>
          <w:p>
            <w:pPr>
              <w:pStyle w:val="Compact"/>
              <w:jc w:val="left"/>
            </w:pPr>
            <w:r>
              <w:rPr>
                <w:b/>
              </w:rPr>
              <w:t xml:space="preserve">高い</w:t>
            </w:r>
            <w:r>
              <w:t xml:space="preserve">。CASBEE改訂とセットで実証実験設計が可能</w:t>
            </w:r>
          </w:p>
        </w:tc>
      </w:tr>
      <w:tr>
        <w:tc>
          <w:p>
            <w:pPr>
              <w:pStyle w:val="Compact"/>
              <w:jc w:val="left"/>
            </w:pPr>
            <w:r>
              <w:rPr>
                <w:b/>
              </w:rPr>
              <w:t xml:space="preserve">CSTB/Elodie型の計算ツール</w:t>
            </w:r>
          </w:p>
        </w:tc>
        <w:tc>
          <w:p>
            <w:pPr>
              <w:pStyle w:val="Compact"/>
              <w:jc w:val="left"/>
            </w:pPr>
            <w:r>
              <w:t xml:space="preserve">IDEA-BIM等の静的LCAツールはあるが動的LCA未対応</w:t>
            </w:r>
          </w:p>
        </w:tc>
        <w:tc>
          <w:p>
            <w:pPr>
              <w:pStyle w:val="Compact"/>
              <w:jc w:val="left"/>
            </w:pPr>
            <w:r>
              <w:rPr>
                <w:b/>
              </w:rPr>
              <w:t xml:space="preserve">高い</w:t>
            </w:r>
            <w:r>
              <w:t xml:space="preserve">。国産ツールに動的LCA機能追加が技術的に可能</w:t>
            </w:r>
          </w:p>
        </w:tc>
      </w:tr>
      <w:tr>
        <w:tc>
          <w:p>
            <w:pPr>
              <w:pStyle w:val="Compact"/>
              <w:jc w:val="left"/>
            </w:pPr>
            <w:r>
              <w:rPr>
                <w:b/>
              </w:rPr>
              <w:t xml:space="preserve">FDES/INIESのデータ基盤</w:t>
            </w:r>
          </w:p>
        </w:tc>
        <w:tc>
          <w:p>
            <w:pPr>
              <w:pStyle w:val="Compact"/>
              <w:jc w:val="left"/>
            </w:pPr>
            <w:r>
              <w:t xml:space="preserve">建材EPDは存在するが時系列炭素フローデータなし</w:t>
            </w:r>
          </w:p>
        </w:tc>
        <w:tc>
          <w:p>
            <w:pPr>
              <w:pStyle w:val="Compact"/>
              <w:jc w:val="left"/>
            </w:pPr>
            <w:r>
              <w:rPr>
                <w:b/>
              </w:rPr>
              <w:t xml:space="preserve">中程度</w:t>
            </w:r>
            <w:r>
              <w:t xml:space="preserve">。IDEAへの時系列データ追加が最優先課題</w:t>
            </w:r>
          </w:p>
        </w:tc>
      </w:tr>
      <w:tr>
        <w:tc>
          <w:p>
            <w:pPr>
              <w:pStyle w:val="Compact"/>
              <w:jc w:val="left"/>
            </w:pPr>
            <w:r>
              <w:rPr>
                <w:b/>
              </w:rPr>
              <w:t xml:space="preserve">FCBAに相当する産業的支持</w:t>
            </w:r>
          </w:p>
        </w:tc>
        <w:tc>
          <w:p>
            <w:pPr>
              <w:pStyle w:val="Compact"/>
              <w:jc w:val="left"/>
            </w:pPr>
            <w:r>
              <w:t xml:space="preserve">CLT普及協会・日集協等が潜在的支持勢力</w:t>
            </w:r>
          </w:p>
        </w:tc>
        <w:tc>
          <w:p>
            <w:pPr>
              <w:pStyle w:val="Compact"/>
              <w:jc w:val="left"/>
            </w:pPr>
            <w:r>
              <w:rPr>
                <w:b/>
              </w:rPr>
              <w:t xml:space="preserve">高い</w:t>
            </w:r>
            <w:r>
              <w:t xml:space="preserve">。動的LCAが日本の国産CLTに与える評価逆転効果はフランスと同等</w:t>
            </w:r>
          </w:p>
        </w:tc>
      </w:tr>
      <w:tr>
        <w:tc>
          <w:p>
            <w:pPr>
              <w:pStyle w:val="Compact"/>
              <w:jc w:val="left"/>
            </w:pPr>
            <w:r>
              <w:rPr>
                <w:b/>
              </w:rPr>
              <w:t xml:space="preserve">国家戦略との整合</w:t>
            </w:r>
          </w:p>
        </w:tc>
        <w:tc>
          <w:p>
            <w:pPr>
              <w:pStyle w:val="Compact"/>
              <w:jc w:val="left"/>
            </w:pPr>
            <w:r>
              <w:t xml:space="preserve">林野庁の木材利用促進法・建築基準法改正</w:t>
            </w:r>
          </w:p>
        </w:tc>
        <w:tc>
          <w:p>
            <w:pPr>
              <w:pStyle w:val="Compact"/>
              <w:jc w:val="left"/>
            </w:pPr>
            <w:r>
              <w:rPr>
                <w:b/>
              </w:rPr>
              <w:t xml:space="preserve">高い</w:t>
            </w:r>
            <w:r>
              <w:t xml:space="preserve">。気候・林業・建設の三政策の収束点として動的LCAを位置づけ可能</w:t>
            </w:r>
          </w:p>
        </w:tc>
      </w:tr>
    </w:tbl>
    <w:p>
      <w:pPr>
        <w:pStyle w:val="Heading3"/>
      </w:pPr>
      <w:bookmarkStart w:id="128" w:name="日本版なぜ今かの論証"/>
      <w:r>
        <w:t xml:space="preserve">8.2 日本版「なぜ今か」の論証</w:t>
      </w:r>
      <w:bookmarkEnd w:id="128"/>
    </w:p>
    <w:p>
      <w:pPr>
        <w:pStyle w:val="FirstParagraph"/>
      </w:pPr>
      <w:r>
        <w:t xml:space="preserve">日本が動的LCA導入を検討する場合、フランスと同様の4条件を以下のように整理できる：</w:t>
      </w:r>
    </w:p>
    <w:p>
      <w:pPr>
        <w:pStyle w:val="SourceCode"/>
      </w:pPr>
      <w:r>
        <w:rPr>
          <w:rStyle w:val="VerbatimChar"/>
        </w:rPr>
        <w:t xml:space="preserve">【日本版4条件の現状（2026年時点）】</w:t>
      </w:r>
      <w:r>
        <w:br/>
      </w:r>
      <w:r>
        <w:br/>
      </w:r>
      <w:r>
        <w:rPr>
          <w:rStyle w:val="VerbatimChar"/>
        </w:rPr>
        <w:t xml:space="preserve">① 科学的基盤:   DCFの方法論は査読文献で確立（Levasseur 2010等）。ただし国際規格は未成立であり、</w:t>
      </w:r>
      <w:r>
        <w:br/>
      </w:r>
      <w:r>
        <w:rPr>
          <w:rStyle w:val="VerbatimChar"/>
        </w:rPr>
        <w:t xml:space="preserve">                国内ガイドラインは学術的基盤の上に独自設計が必要（標準化動向の注視が前提）</w:t>
      </w:r>
      <w:r>
        <w:br/>
      </w:r>
      <w:r>
        <w:rPr>
          <w:rStyle w:val="VerbatimChar"/>
        </w:rPr>
        <w:t xml:space="preserve">② データ基盤:   IDEAへの時系列炭素フローデータ追加が急務（現在未整備）</w:t>
      </w:r>
      <w:r>
        <w:br/>
      </w:r>
      <w:r>
        <w:rPr>
          <w:rStyle w:val="VerbatimChar"/>
        </w:rPr>
        <w:t xml:space="preserve">③ 計算ツール:   動的LCA対応ツールが国内に存在しない（最優先開発課題）</w:t>
      </w:r>
      <w:r>
        <w:br/>
      </w:r>
      <w:r>
        <w:rPr>
          <w:rStyle w:val="VerbatimChar"/>
        </w:rPr>
        <w:t xml:space="preserve">④ 政治的正当性: 木材利用促進基本計画・カーボンニュートラル宣言と整合するが</w:t>
      </w:r>
      <w:r>
        <w:br/>
      </w:r>
      <w:r>
        <w:rPr>
          <w:rStyle w:val="VerbatimChar"/>
        </w:rPr>
        <w:t xml:space="preserve">                産業界の合意形成が未形成</w:t>
      </w:r>
      <w:r>
        <w:br/>
      </w:r>
      <w:r>
        <w:br/>
      </w:r>
      <w:r>
        <w:rPr>
          <w:rStyle w:val="VerbatimChar"/>
        </w:rPr>
        <w:t xml:space="preserve">→ ②③④が未整備。「実証なき規制化はしない」フランスの教訓に倣い、</w:t>
      </w:r>
      <w:r>
        <w:br/>
      </w:r>
      <w:r>
        <w:rPr>
          <w:rStyle w:val="VerbatimChar"/>
        </w:rPr>
        <w:t xml:space="preserve">  5年間の実証プログラム設計が最初のステップ。</w:t>
      </w:r>
    </w:p>
    <w:p>
      <w:pPr>
        <w:pStyle w:val="Heading3"/>
      </w:pPr>
      <w:bookmarkStart w:id="129" w:name="日本が避けるべきフランスの失敗"/>
      <w:r>
        <w:t xml:space="preserve">8.3 日本が避けるべきフランスの失敗</w:t>
      </w:r>
      <w:bookmarkEnd w:id="129"/>
    </w:p>
    <w:p>
      <w:pPr>
        <w:numPr>
          <w:ilvl w:val="0"/>
          <w:numId w:val="1025"/>
        </w:numPr>
        <w:pStyle w:val="Compact"/>
      </w:pPr>
      <w:r>
        <w:rPr>
          <w:b/>
        </w:rPr>
        <w:t xml:space="preserve">DOの固定問題の再現:</w:t>
      </w:r>
      <w:r>
        <w:t xml:space="preserve"> </w:t>
      </w:r>
      <w:r>
        <w:t xml:space="preserve">フランスはDO=100年固定で過大評価問題を抱えた。日本は非線形DCF（変動DO）の採用可能性を最初から検討することで、この失敗を回避できる。</w:t>
      </w:r>
    </w:p>
    <w:p>
      <w:pPr>
        <w:numPr>
          <w:ilvl w:val="0"/>
          <w:numId w:val="1025"/>
        </w:numPr>
        <w:pStyle w:val="Compact"/>
      </w:pPr>
      <w:r>
        <w:rPr>
          <w:b/>
        </w:rPr>
        <w:t xml:space="preserve">データ後追い:</w:t>
      </w:r>
      <w:r>
        <w:t xml:space="preserve"> </w:t>
      </w:r>
      <w:r>
        <w:t xml:space="preserve">フランスはFDESカバレッジ不足のまま規制化し、デフォルト値依存が慢性化した。日本は規制化前にIDEA/日本版FDESの時系列データ整備を完了させるべき。</w:t>
      </w:r>
    </w:p>
    <w:p>
      <w:pPr>
        <w:numPr>
          <w:ilvl w:val="0"/>
          <w:numId w:val="1025"/>
        </w:numPr>
        <w:pStyle w:val="Compact"/>
      </w:pPr>
      <w:r>
        <w:rPr>
          <w:b/>
        </w:rPr>
        <w:t xml:space="preserve">中小業者コスト無視:</w:t>
      </w:r>
      <w:r>
        <w:t xml:space="preserve"> </w:t>
      </w:r>
      <w:r>
        <w:t xml:space="preserve">フランスの失敗事例を参考に、日本では計算ツールの無償提供・行政コスト補助を制度設計に織り込むべき。</w:t>
      </w:r>
    </w:p>
    <w:p>
      <w:r>
        <w:pict>
          <v:rect style="width:0;height:1.5pt" o:hralign="center" o:hrstd="t" o:hr="t"/>
        </w:pict>
      </w:r>
    </w:p>
    <w:p>
      <w:pPr>
        <w:pStyle w:val="Heading2"/>
      </w:pPr>
      <w:bookmarkStart w:id="130" w:name="動的lca導入の是非官僚的判断のための論点整理"/>
      <w:r>
        <w:t xml:space="preserve">9. 動的LCA導入の是非——官僚的判断のための論点整理</w:t>
      </w:r>
      <w:bookmarkEnd w:id="130"/>
    </w:p>
    <w:p>
      <w:pPr>
        <w:pStyle w:val="BlockText"/>
      </w:pPr>
      <w:r>
        <w:rPr>
          <w:b/>
        </w:rPr>
        <w:t xml:space="preserve">本節の位置づけ:</w:t>
      </w:r>
      <w:r>
        <w:t xml:space="preserve"> </w:t>
      </w:r>
      <w:r>
        <w:t xml:space="preserve">本報告書は調査項目①の制度分析であり、導入の是非そのものを結論づけるものではない。しかし林野庁の最終判断（導入すべきか、すべきなら何に注意すべきか）に資するため、判断の分岐点と論拠を中立的に整理する。</w:t>
      </w:r>
    </w:p>
    <w:p>
      <w:pPr>
        <w:pStyle w:val="Heading3"/>
      </w:pPr>
      <w:bookmarkStart w:id="131" w:name="動的lcaを支持する論拠"/>
      <w:r>
        <w:t xml:space="preserve">9.1 動的LCAを支持する論拠</w:t>
      </w:r>
      <w:bookmarkEnd w:id="131"/>
    </w:p>
    <w:p>
      <w:pPr>
        <w:numPr>
          <w:ilvl w:val="0"/>
          <w:numId w:val="1026"/>
        </w:numPr>
        <w:pStyle w:val="Compact"/>
      </w:pPr>
      <w:r>
        <w:rPr>
          <w:b/>
        </w:rPr>
        <w:t xml:space="preserve">物理的正確性:</w:t>
      </w:r>
      <w:r>
        <w:t xml:space="preserve"> </w:t>
      </w:r>
      <w:r>
        <w:t xml:space="preserve">静的GWP100は排出タイミングを無視し、木材の数十年の炭素貯蔵という実在する気候便益を計測できない。動的LCAはこの測定上の欠陥を修正する（§1）。</w:t>
      </w:r>
    </w:p>
    <w:p>
      <w:pPr>
        <w:numPr>
          <w:ilvl w:val="0"/>
          <w:numId w:val="1026"/>
        </w:numPr>
        <w:pStyle w:val="Compact"/>
      </w:pPr>
      <w:r>
        <w:rPr>
          <w:b/>
        </w:rPr>
        <w:t xml:space="preserve">政策整合性:</w:t>
      </w:r>
      <w:r>
        <w:t xml:space="preserve"> </w:t>
      </w:r>
      <w:r>
        <w:t xml:space="preserve">木材利用促進基本計画・2050カーボンニュートラルと、木材を正当に評価する動的LCAは方向が一致する。</w:t>
      </w:r>
    </w:p>
    <w:p>
      <w:pPr>
        <w:numPr>
          <w:ilvl w:val="0"/>
          <w:numId w:val="1026"/>
        </w:numPr>
        <w:pStyle w:val="Compact"/>
      </w:pPr>
      <w:r>
        <w:rPr>
          <w:b/>
        </w:rPr>
        <w:t xml:space="preserve">産業競争条件の是正:</w:t>
      </w:r>
      <w:r>
        <w:t xml:space="preserve"> </w:t>
      </w:r>
      <w:r>
        <w:t xml:space="preserve">静的評価下で「排出材」とされる国産CLT等が、動的評価で「固定材」に逆転し得る（§6）。</w:t>
      </w:r>
    </w:p>
    <w:p>
      <w:pPr>
        <w:numPr>
          <w:ilvl w:val="0"/>
          <w:numId w:val="1026"/>
        </w:numPr>
        <w:pStyle w:val="Compact"/>
      </w:pPr>
      <w:r>
        <w:rPr>
          <w:b/>
        </w:rPr>
        <w:t xml:space="preserve">先行者利益:</w:t>
      </w:r>
      <w:r>
        <w:t xml:space="preserve"> </w:t>
      </w:r>
      <w:r>
        <w:t xml:space="preserve">国際標準化（CEN/TC 350等）が未収束の今、実証知見を持つことで標準形成に関与できる。</w:t>
      </w:r>
    </w:p>
    <w:p>
      <w:pPr>
        <w:pStyle w:val="Heading3"/>
      </w:pPr>
      <w:bookmarkStart w:id="132" w:name="動的lcaに慎重反対すべき論拠同等に重要"/>
      <w:r>
        <w:t xml:space="preserve">9.2 動的LCAに慎重・反対すべき論拠（同等に重要）</w:t>
      </w:r>
      <w:bookmarkEnd w:id="132"/>
    </w:p>
    <w:p>
      <w:pPr>
        <w:numPr>
          <w:ilvl w:val="0"/>
          <w:numId w:val="1027"/>
        </w:numPr>
        <w:pStyle w:val="Compact"/>
      </w:pPr>
      <w:r>
        <w:rPr>
          <w:b/>
        </w:rPr>
        <w:t xml:space="preserve">国際的孤立リスク:</w:t>
      </w:r>
      <w:r>
        <w:t xml:space="preserve"> </w:t>
      </w:r>
      <w:r>
        <w:t xml:space="preserve">動的LCAを採用する国はフランスのみ。EU・北欧・EN 15804は全て静的LCA基盤（§7.3）。動的を選ぶと国際的なEPD・データ互換性で不利になり得る。</w:t>
      </w:r>
    </w:p>
    <w:p>
      <w:pPr>
        <w:numPr>
          <w:ilvl w:val="0"/>
          <w:numId w:val="1027"/>
        </w:numPr>
        <w:pStyle w:val="Compact"/>
      </w:pPr>
      <w:r>
        <w:rPr>
          <w:b/>
        </w:rPr>
        <w:t xml:space="preserve">科学的論争が未決着:</w:t>
      </w:r>
      <w:r>
        <w:t xml:space="preserve"> </w:t>
      </w:r>
      <w:r>
        <w:t xml:space="preserve">一時的炭素貯蔵に「気候便益」を与えること自体に学術的異論がある。Brandão et al. (2013) 等は、貯蔵は排出を遅らせるだけで大気中濃度の最終的な積分値を減らさない可能性を指摘し、貯蔵クレジットの正当性を問う。RE2020の手法もVentura (2022) に約25%の過大評価を指摘されている。</w:t>
      </w:r>
      <w:r>
        <w:rPr>
          <w:b/>
        </w:rPr>
        <w:t xml:space="preserve">「動的LCAが静的より正しい」は自明ではない。</w:t>
      </w:r>
    </w:p>
    <w:p>
      <w:pPr>
        <w:numPr>
          <w:ilvl w:val="0"/>
          <w:numId w:val="1027"/>
        </w:numPr>
        <w:pStyle w:val="Compact"/>
      </w:pPr>
      <w:r>
        <w:rPr>
          <w:b/>
        </w:rPr>
        <w:t xml:space="preserve">制度の複雑性とコスト:</w:t>
      </w:r>
      <w:r>
        <w:t xml:space="preserve"> </w:t>
      </w:r>
      <w:r>
        <w:t xml:space="preserve">動的LCAは計算ツール・データ基盤・実務者教育への要求が高い。フランスはFDESカバレッジ不足とデフォルト値依存に苦しみ、2025年のMided廃止で中小事業者負担が増した。+11%の投資コスト増（2035年見通し、Rivaton 2025）も報告されている。</w:t>
      </w:r>
    </w:p>
    <w:p>
      <w:pPr>
        <w:numPr>
          <w:ilvl w:val="0"/>
          <w:numId w:val="1027"/>
        </w:numPr>
        <w:pStyle w:val="Compact"/>
      </w:pPr>
      <w:r>
        <w:rPr>
          <w:b/>
        </w:rPr>
        <w:t xml:space="preserve">データ前提の脆弱性:</w:t>
      </w:r>
      <w:r>
        <w:t xml:space="preserve"> </w:t>
      </w:r>
      <w:r>
        <w:t xml:space="preserve">木材の便益は「伐採＝再植林（SFM）」を暗黙の前提とする。国産材でこの前提が崩れる地域があれば、便益計上の正当性自体が揺らぐ（§3.4）。</w:t>
      </w:r>
    </w:p>
    <w:p>
      <w:pPr>
        <w:numPr>
          <w:ilvl w:val="0"/>
          <w:numId w:val="1027"/>
        </w:numPr>
        <w:pStyle w:val="Compact"/>
      </w:pPr>
      <w:r>
        <w:rPr>
          <w:b/>
        </w:rPr>
        <w:t xml:space="preserve">目的に対する過剰性:</w:t>
      </w:r>
      <w:r>
        <w:t xml:space="preserve"> </w:t>
      </w:r>
      <w:r>
        <w:t xml:space="preserve">木材利用促進が主目的なら、補助金・公共調達義務（仏の生物由来材25%義務等）・容積率優遇など、より直接的で制度コストの低い手段が存在する。動的LCAは「正確な計測」のための手段であり、「木材振興」の最短経路とは限らない。</w:t>
      </w:r>
    </w:p>
    <w:p>
      <w:pPr>
        <w:pStyle w:val="Heading3"/>
      </w:pPr>
      <w:bookmarkStart w:id="133" w:name="導入オプションの4類型"/>
      <w:r>
        <w:t xml:space="preserve">9.3 導入オプションの4類型</w:t>
      </w:r>
      <w:bookmarkEnd w:id="133"/>
    </w:p>
    <w:p>
      <w:pPr>
        <w:pStyle w:val="FirstParagraph"/>
      </w:pPr>
      <w:r>
        <w:t xml:space="preserve">是非は二択ではない。少なくとも4つの選択肢がある。</w:t>
      </w:r>
    </w:p>
    <w:tbl>
      <w:tblPr>
        <w:tblStyle w:val="Table"/>
        <w:tblW w:type="pct" w:w="5000.0"/>
        <w:tblLook w:firstRow="1"/>
      </w:tblPr>
      <w:tblGrid>
        <w:gridCol w:w="3046"/>
        <w:gridCol w:w="1827"/>
        <w:gridCol w:w="3046"/>
      </w:tblGrid>
      <w:tr>
        <w:trPr>
          <w:cnfStyle w:firstRow="1"/>
        </w:trPr>
        <w:tc>
          <w:tcPr>
            <w:tcBorders>
              <w:bottom w:val="single"/>
            </w:tcBorders>
            <w:vAlign w:val="bottom"/>
          </w:tcPr>
          <w:p>
            <w:pPr>
              <w:pStyle w:val="Compact"/>
              <w:jc w:val="left"/>
            </w:pPr>
            <w:r>
              <w:t xml:space="preserve">オプション</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向くケース</w:t>
            </w:r>
          </w:p>
        </w:tc>
      </w:tr>
      <w:tr>
        <w:tc>
          <w:p>
            <w:pPr>
              <w:pStyle w:val="Compact"/>
              <w:jc w:val="left"/>
            </w:pPr>
            <w:r>
              <w:rPr>
                <w:b/>
              </w:rPr>
              <w:t xml:space="preserve">A. 動的LCAを規制化</w:t>
            </w:r>
          </w:p>
        </w:tc>
        <w:tc>
          <w:p>
            <w:pPr>
              <w:pStyle w:val="Compact"/>
              <w:jc w:val="left"/>
            </w:pPr>
            <w:r>
              <w:t xml:space="preserve">フランスRE2020型。排出タイミングを重み付けし義務化</w:t>
            </w:r>
          </w:p>
        </w:tc>
        <w:tc>
          <w:p>
            <w:pPr>
              <w:pStyle w:val="Compact"/>
              <w:jc w:val="left"/>
            </w:pPr>
            <w:r>
              <w:t xml:space="preserve">木材の時間便益を制度評価したい／実証データ基盤を整備できる</w:t>
            </w:r>
          </w:p>
        </w:tc>
      </w:tr>
      <w:tr>
        <w:tc>
          <w:p>
            <w:pPr>
              <w:pStyle w:val="Compact"/>
              <w:jc w:val="left"/>
            </w:pPr>
            <w:r>
              <w:rPr>
                <w:b/>
              </w:rPr>
              <w:t xml:space="preserve">A’. 動的LCAを自主基準・実証から導入</w:t>
            </w:r>
          </w:p>
        </w:tc>
        <w:tc>
          <w:p>
            <w:pPr>
              <w:pStyle w:val="Compact"/>
              <w:jc w:val="left"/>
            </w:pPr>
            <w:r>
              <w:t xml:space="preserve">ノルウェーFutureBuilt ZERO／米国POD|LCA型。規制化せず自主基準・ツールで先行</w:t>
            </w:r>
          </w:p>
        </w:tc>
        <w:tc>
          <w:p>
            <w:pPr>
              <w:pStyle w:val="Compact"/>
              <w:jc w:val="left"/>
            </w:pPr>
            <w:r>
              <w:t xml:space="preserve">動的LCAに関心はあるがデータ・合意が未成熟（</w:t>
            </w:r>
            <w:r>
              <w:rPr>
                <w:b/>
              </w:rPr>
              <w:t xml:space="preserve">日本の現状に適合的</w:t>
            </w:r>
            <w:r>
              <w:t xml:space="preserve">）</w:t>
            </w:r>
          </w:p>
        </w:tc>
      </w:tr>
      <w:tr>
        <w:tc>
          <w:p>
            <w:pPr>
              <w:pStyle w:val="Compact"/>
              <w:jc w:val="left"/>
            </w:pPr>
            <w:r>
              <w:rPr>
                <w:b/>
              </w:rPr>
              <w:t xml:space="preserve">B. 静的LCA＋炭素貯蔵の別途開示</w:t>
            </w:r>
          </w:p>
        </w:tc>
        <w:tc>
          <w:p>
            <w:pPr>
              <w:pStyle w:val="Compact"/>
              <w:jc w:val="left"/>
            </w:pPr>
            <w:r>
              <w:t xml:space="preserve">北欧規制型。規制は静的GWP100、貯蔵量は情報提供（フランスのStockC指標に類似）</w:t>
            </w:r>
          </w:p>
        </w:tc>
        <w:tc>
          <w:p>
            <w:pPr>
              <w:pStyle w:val="Compact"/>
              <w:jc w:val="left"/>
            </w:pPr>
            <w:r>
              <w:t xml:space="preserve">国際整合を優先しつつ木材の貯蔵を可視化したい</w:t>
            </w:r>
          </w:p>
        </w:tc>
      </w:tr>
      <w:tr>
        <w:tc>
          <w:p>
            <w:pPr>
              <w:pStyle w:val="Compact"/>
              <w:jc w:val="left"/>
            </w:pPr>
            <w:r>
              <w:rPr>
                <w:b/>
              </w:rPr>
              <w:t xml:space="preserve">C. 申告義務のみ先行</w:t>
            </w:r>
          </w:p>
        </w:tc>
        <w:tc>
          <w:p>
            <w:pPr>
              <w:pStyle w:val="Compact"/>
              <w:jc w:val="left"/>
            </w:pPr>
            <w:r>
              <w:t xml:space="preserve">スウェーデン型。まず測定・申告を義務化し、上限値は数年後</w:t>
            </w:r>
          </w:p>
        </w:tc>
        <w:tc>
          <w:p>
            <w:pPr>
              <w:pStyle w:val="Compact"/>
              <w:jc w:val="left"/>
            </w:pPr>
            <w:r>
              <w:t xml:space="preserve">データ基盤が未整備（＝日本の現状に最も近い）</w:t>
            </w:r>
          </w:p>
        </w:tc>
      </w:tr>
      <w:tr>
        <w:tc>
          <w:p>
            <w:pPr>
              <w:pStyle w:val="Compact"/>
              <w:jc w:val="left"/>
            </w:pPr>
            <w:r>
              <w:rPr>
                <w:b/>
              </w:rPr>
              <w:t xml:space="preserve">D. 非規制的手段で代替</w:t>
            </w:r>
          </w:p>
        </w:tc>
        <w:tc>
          <w:p>
            <w:pPr>
              <w:pStyle w:val="Compact"/>
              <w:jc w:val="left"/>
            </w:pPr>
            <w:r>
              <w:t xml:space="preserve">補助金・公共調達・税制等で木材利用を直接促進</w:t>
            </w:r>
          </w:p>
        </w:tc>
        <w:tc>
          <w:p>
            <w:pPr>
              <w:pStyle w:val="Compact"/>
              <w:jc w:val="left"/>
            </w:pPr>
            <w:r>
              <w:t xml:space="preserve">LCA制度化の合意・コストが見合わない</w:t>
            </w:r>
          </w:p>
        </w:tc>
      </w:tr>
    </w:tbl>
    <w:p>
      <w:pPr>
        <w:pStyle w:val="Heading3"/>
      </w:pPr>
      <w:bookmarkStart w:id="134" w:name="導入しない急がないが合理的となる条件"/>
      <w:r>
        <w:t xml:space="preserve">9.4 「導入しない／急がない」が合理的となる条件</w:t>
      </w:r>
      <w:bookmarkEnd w:id="134"/>
    </w:p>
    <w:p>
      <w:pPr>
        <w:pStyle w:val="FirstParagraph"/>
      </w:pPr>
      <w:r>
        <w:t xml:space="preserve">本報告書は導入を推奨も否定もしない。ただし以下の条件が揃う場合、</w:t>
      </w:r>
      <w:r>
        <w:rPr>
          <w:b/>
        </w:rPr>
        <w:t xml:space="preserve">「現時点では導入しない、またはオプションC/Dを選ぶ」ことが合理的</w:t>
      </w:r>
      <w:r>
        <w:t xml:space="preserve">である：</w:t>
      </w:r>
    </w:p>
    <w:p>
      <w:pPr>
        <w:numPr>
          <w:ilvl w:val="0"/>
          <w:numId w:val="1028"/>
        </w:numPr>
        <w:pStyle w:val="Compact"/>
      </w:pPr>
      <w:r>
        <w:t xml:space="preserve">建材環境データベース（IDEA等）に時系列炭素フロー情報がなく、整備に数年を要する → 動的LCAは計算不能</w:t>
      </w:r>
    </w:p>
    <w:p>
      <w:pPr>
        <w:numPr>
          <w:ilvl w:val="0"/>
          <w:numId w:val="1028"/>
        </w:numPr>
        <w:pStyle w:val="Compact"/>
      </w:pPr>
      <w:r>
        <w:t xml:space="preserve">動的LCAの科学的論争（貯蔵クレジットの正当性、DO固定の過大評価）が未決着であり、官僚が説明責任を負えない</w:t>
      </w:r>
    </w:p>
    <w:p>
      <w:pPr>
        <w:numPr>
          <w:ilvl w:val="0"/>
          <w:numId w:val="1028"/>
        </w:numPr>
        <w:pStyle w:val="Compact"/>
      </w:pPr>
      <w:r>
        <w:t xml:space="preserve">木材利用促進が主目的なら、より直接的な政策手段（オプションD）の費用対効果が動的LCA導入を上回る</w:t>
      </w:r>
    </w:p>
    <w:p>
      <w:pPr>
        <w:numPr>
          <w:ilvl w:val="0"/>
          <w:numId w:val="1028"/>
        </w:numPr>
        <w:pStyle w:val="Compact"/>
      </w:pPr>
      <w:r>
        <w:t xml:space="preserve">国際標準（CEN/TC 350・EPBD下のEN改訂）の方向性が固まるまで待つことで、手戻りリスクを回避できる</w:t>
      </w:r>
    </w:p>
    <w:p>
      <w:pPr>
        <w:pStyle w:val="FirstParagraph"/>
      </w:pPr>
      <w:r>
        <w:t xml:space="preserve">逆に、</w:t>
      </w:r>
      <w:r>
        <w:rPr>
          <w:b/>
        </w:rPr>
        <w:t xml:space="preserve">実証プログラムで国内データを蓄積しつつ（オプションC）、国際標準化の議論に参画し、その上で動的（A）か静的＋開示（B）かを判断する</w:t>
      </w:r>
      <w:r>
        <w:t xml:space="preserve">という段階的経路が、現実的な落としどころとなり得る。</w:t>
      </w:r>
    </w:p>
    <w:p>
      <w:r>
        <w:pict>
          <v:rect style="width:0;height:1.5pt" o:hralign="center" o:hrstd="t" o:hr="t"/>
        </w:pict>
      </w:r>
    </w:p>
    <w:p>
      <w:pPr>
        <w:pStyle w:val="Heading2"/>
      </w:pPr>
      <w:bookmarkStart w:id="135" w:name="参考文献-3"/>
      <w:r>
        <w:t xml:space="preserve">参考文献</w:t>
      </w:r>
      <w:bookmarkEnd w:id="135"/>
    </w:p>
    <w:p>
      <w:pPr>
        <w:numPr>
          <w:ilvl w:val="0"/>
          <w:numId w:val="1029"/>
        </w:numPr>
        <w:pStyle w:val="Compact"/>
      </w:pPr>
      <w:r>
        <w:t xml:space="preserve">Benoist, A. (2009).</w:t>
      </w:r>
      <w:r>
        <w:t xml:space="preserve"> </w:t>
      </w:r>
      <w:r>
        <w:rPr>
          <w:i/>
        </w:rPr>
        <w:t xml:space="preserve">Éléments d’adaptation de la méthodologie d’analyse de cycle de vie aux carburants végétaux : cas de la première génération</w:t>
      </w:r>
      <w:r>
        <w:t xml:space="preserve">. Thèse de doctorat, École Nationale Supérieure des Mines de Paris. [書誌確認済み]</w:t>
      </w:r>
    </w:p>
    <w:p>
      <w:pPr>
        <w:numPr>
          <w:ilvl w:val="0"/>
          <w:numId w:val="1029"/>
        </w:numPr>
        <w:pStyle w:val="Compact"/>
      </w:pPr>
      <w:r>
        <w:t xml:space="preserve">Solinnen (2018).</w:t>
      </w:r>
      <w:r>
        <w:t xml:space="preserve"> </w:t>
      </w:r>
      <w:r>
        <w:rPr>
          <w:i/>
        </w:rPr>
        <w:t xml:space="preserve">Rapport sur les méthodes de calcul des impacts environnementaux — Coefficient dynamique du bilan carbone</w:t>
      </w:r>
      <w:r>
        <w:t xml:space="preserve">. Rapport technique pour la DHUP. [係数がSolinnen手法に基づくことはUniv Gustave Eiffel公開ノートで裏付け済み。正確な書誌・年は未確認]</w:t>
      </w:r>
    </w:p>
    <w:p>
      <w:pPr>
        <w:numPr>
          <w:ilvl w:val="0"/>
          <w:numId w:val="1029"/>
        </w:numPr>
        <w:pStyle w:val="Compact"/>
      </w:pPr>
      <w:r>
        <w:t xml:space="preserve">Cerema (2022).</w:t>
      </w:r>
      <w:r>
        <w:t xml:space="preserve"> </w:t>
      </w:r>
      <w:r>
        <w:rPr>
          <w:i/>
        </w:rPr>
        <w:t xml:space="preserve">L’ACV dynamique dans la RE2020</w:t>
      </w:r>
      <w:r>
        <w:t xml:space="preserve">. [公式係数値の出典として確認済み]</w:t>
      </w:r>
    </w:p>
    <w:p>
      <w:pPr>
        <w:numPr>
          <w:ilvl w:val="0"/>
          <w:numId w:val="1029"/>
        </w:numPr>
        <w:pStyle w:val="Compact"/>
      </w:pPr>
      <w:r>
        <w:t xml:space="preserve">Ventura, A. (2022).</w:t>
      </w:r>
      <w:r>
        <w:t xml:space="preserve"> </w:t>
      </w:r>
      <w:r>
        <w:t xml:space="preserve">“</w:t>
      </w:r>
      <w:r>
        <w:t xml:space="preserve">Conceptual issue of the dynamic GWP indicator and solution.</w:t>
      </w:r>
      <w:r>
        <w:t xml:space="preserve">”</w:t>
      </w:r>
      <w:r>
        <w:t xml:space="preserve"> </w:t>
      </w:r>
      <w:r>
        <w:rPr>
          <w:i/>
        </w:rPr>
        <w:t xml:space="preserve">The International Journal of Life Cycle Assessment</w:t>
      </w:r>
      <w:r>
        <w:t xml:space="preserve">, 28, 788–799. https://doi.org/10.1007/s11367-022-02028-x [書誌確認済み]</w:t>
      </w:r>
    </w:p>
    <w:p>
      <w:pPr>
        <w:numPr>
          <w:ilvl w:val="0"/>
          <w:numId w:val="1029"/>
        </w:numPr>
        <w:pStyle w:val="Compact"/>
      </w:pPr>
      <w:r>
        <w:t xml:space="preserve">Cerema (2024).</w:t>
      </w:r>
      <w:r>
        <w:t xml:space="preserve"> </w:t>
      </w:r>
      <w:r>
        <w:rPr>
          <w:i/>
        </w:rPr>
        <w:t xml:space="preserve">Guide technique RE2020 — Calcul des indicateurs environnementaux</w:t>
      </w:r>
      <w:r>
        <w:t xml:space="preserve">, §4.2. Cerema, Lyon.</w:t>
      </w:r>
    </w:p>
    <w:p>
      <w:pPr>
        <w:numPr>
          <w:ilvl w:val="0"/>
          <w:numId w:val="1029"/>
        </w:numPr>
        <w:pStyle w:val="Compact"/>
      </w:pPr>
      <w:r>
        <w:t xml:space="preserve">Rivaton, R. (2025).</w:t>
      </w:r>
      <w:r>
        <w:t xml:space="preserve"> </w:t>
      </w:r>
      <w:r>
        <w:rPr>
          <w:i/>
        </w:rPr>
        <w:t xml:space="preserve">Rapport d’évaluation de la RE2020</w:t>
      </w:r>
      <w:r>
        <w:t xml:space="preserve">（23提言。主な内容: 2022-24年seuilの+40 kgCO₂eq/m²調整提案〔A1→A2移行に伴う計算法変更の補正〕・住環境の質によるseuilモデュレーション・夏季快適性指標の見直し・30%以下の増築のRE2020適用除外・2035年まで現行枠組み維持等。カレンダー2025/2028/2031は維持を明言）. 2025年7月10日、Létard住宅担当大臣に提出. https://www.ecologie.gouv.fr/sites/default/files/documents/10.07.2025_Rapport__Robin_Rivaton_RE2020.pdf [書誌・内容確認済み]</w:t>
      </w:r>
    </w:p>
    <w:p>
      <w:pPr>
        <w:numPr>
          <w:ilvl w:val="0"/>
          <w:numId w:val="1029"/>
        </w:numPr>
        <w:pStyle w:val="Compact"/>
      </w:pPr>
      <w:r>
        <w:t xml:space="preserve">DHUP (2021).</w:t>
      </w:r>
      <w:r>
        <w:t xml:space="preserve"> </w:t>
      </w:r>
      <w:r>
        <w:rPr>
          <w:i/>
        </w:rPr>
        <w:t xml:space="preserve">Décret n°2021-1004 et Arrêté du 4 août 2021</w:t>
      </w:r>
      <w:r>
        <w:t xml:space="preserve">. Journal officiel de la République française.</w:t>
      </w:r>
    </w:p>
    <w:p>
      <w:pPr>
        <w:numPr>
          <w:ilvl w:val="0"/>
          <w:numId w:val="1029"/>
        </w:numPr>
        <w:pStyle w:val="Compact"/>
      </w:pPr>
      <w:r>
        <w:t xml:space="preserve">Hoxha, E. et al. (2020).</w:t>
      </w:r>
      <w:r>
        <w:t xml:space="preserve"> </w:t>
      </w:r>
      <w:r>
        <w:t xml:space="preserve">“</w:t>
      </w:r>
      <w:r>
        <w:t xml:space="preserve">Uncertainty in life cycle assessment of buildings.</w:t>
      </w:r>
      <w:r>
        <w:t xml:space="preserve">”</w:t>
      </w:r>
      <w:r>
        <w:t xml:space="preserve"> </w:t>
      </w:r>
      <w:r>
        <w:rPr>
          <w:i/>
        </w:rPr>
        <w:t xml:space="preserve">Building and Environment</w:t>
      </w:r>
      <w:r>
        <w:t xml:space="preserve">, 175, 106780.</w:t>
      </w:r>
    </w:p>
    <w:p>
      <w:pPr>
        <w:numPr>
          <w:ilvl w:val="0"/>
          <w:numId w:val="1029"/>
        </w:numPr>
        <w:pStyle w:val="Compact"/>
      </w:pPr>
      <w:r>
        <w:t xml:space="preserve">Levasseur, A. et al. (2010).</w:t>
      </w:r>
      <w:r>
        <w:t xml:space="preserve"> </w:t>
      </w:r>
      <w:r>
        <w:t xml:space="preserve">“</w:t>
      </w:r>
      <w:r>
        <w:t xml:space="preserve">Considering time in LCA: dynamic LCA and its application to global warming impact assessments.</w:t>
      </w:r>
      <w:r>
        <w:t xml:space="preserve">”</w:t>
      </w:r>
      <w:r>
        <w:t xml:space="preserve"> </w:t>
      </w:r>
      <w:r>
        <w:rPr>
          <w:i/>
        </w:rPr>
        <w:t xml:space="preserve">Environmental Science &amp; Technology</w:t>
      </w:r>
      <w:r>
        <w:t xml:space="preserve">, 44(8), 3169–3174.</w:t>
      </w:r>
    </w:p>
    <w:p>
      <w:pPr>
        <w:numPr>
          <w:ilvl w:val="0"/>
          <w:numId w:val="1029"/>
        </w:numPr>
        <w:pStyle w:val="Compact"/>
      </w:pPr>
      <w:r>
        <w:t xml:space="preserve">IPCC (2007).</w:t>
      </w:r>
      <w:r>
        <w:t xml:space="preserve"> </w:t>
      </w:r>
      <w:r>
        <w:rPr>
          <w:i/>
        </w:rPr>
        <w:t xml:space="preserve">Fourth Assessment Report (AR4): Climate Change 2007</w:t>
      </w:r>
      <w:r>
        <w:t xml:space="preserve">. Cambridge University Press.</w:t>
      </w:r>
    </w:p>
    <w:p>
      <w:pPr>
        <w:numPr>
          <w:ilvl w:val="0"/>
          <w:numId w:val="1029"/>
        </w:numPr>
        <w:pStyle w:val="Compact"/>
      </w:pPr>
      <w:r>
        <w:t xml:space="preserve">Brandão, M., Levasseur, A., Kirschbaum, M.U.F. et al. (2013).</w:t>
      </w:r>
      <w:r>
        <w:t xml:space="preserve"> </w:t>
      </w:r>
      <w:r>
        <w:t xml:space="preserve">“</w:t>
      </w:r>
      <w:r>
        <w:t xml:space="preserve">Key issues and options in accounting for carbon sequestration and temporary storage in life cycle assessment and carbon footprinting.</w:t>
      </w:r>
      <w:r>
        <w:t xml:space="preserve">”</w:t>
      </w:r>
      <w:r>
        <w:t xml:space="preserve"> </w:t>
      </w:r>
      <w:r>
        <w:rPr>
          <w:i/>
        </w:rPr>
        <w:t xml:space="preserve">Int J Life Cycle Assess</w:t>
      </w:r>
      <w:r>
        <w:t xml:space="preserve">, 18, 230–240. [一時的炭素貯蔵クレジットの正当性への批判的論点。§9.2]</w:t>
      </w:r>
    </w:p>
    <w:p>
      <w:pPr>
        <w:numPr>
          <w:ilvl w:val="0"/>
          <w:numId w:val="1029"/>
        </w:numPr>
        <w:pStyle w:val="Compact"/>
      </w:pPr>
      <w:r>
        <w:t xml:space="preserve">Décret n°2024-1258 du 30 décembre 2024（通称「décret retex」）. [2025年seuil確定。事務所810・教育770等]</w:t>
      </w:r>
    </w:p>
    <w:p>
      <w:pPr>
        <w:numPr>
          <w:ilvl w:val="0"/>
          <w:numId w:val="1029"/>
        </w:numPr>
        <w:pStyle w:val="Compact"/>
      </w:pPr>
      <w:r>
        <w:t xml:space="preserve">各国比較（§7.3）の出典: One Click LCA / Buro Happold / Nordic Council（デンマークBR18: 2025年7月〜7.1 kgCO₂eq/m²/年）, スウェーデンKlimatdeklaration（2022〜）, オランダMPG（2013/2018）, EPBD改正Directive (EU) 2024/1275。</w:t>
      </w:r>
    </w:p>
    <w:p>
      <w:pPr>
        <w:numPr>
          <w:ilvl w:val="0"/>
          <w:numId w:val="1029"/>
        </w:numPr>
        <w:pStyle w:val="Compact"/>
      </w:pPr>
      <w:r>
        <w:t xml:space="preserve">FutureBuilt ZERO（ノルウェー）: SINTEF,</w:t>
      </w:r>
      <w:r>
        <w:t xml:space="preserve"> </w:t>
      </w:r>
      <w:r>
        <w:t xml:space="preserve">“</w:t>
      </w:r>
      <w:r>
        <w:t xml:space="preserve">FutureBuilt Zero – A simplified dynamic LCA method with requirements for low carbon emissions from buildings</w:t>
      </w:r>
      <w:r>
        <w:t xml:space="preserve">”</w:t>
      </w:r>
      <w:r>
        <w:t xml:space="preserve"> </w:t>
      </w:r>
      <w:r>
        <w:t xml:space="preserve">(2022)。評価期間60年・基準比50%削減・時間依存特性化係数・生物由来炭素算入。オスロ圏の自主パイロット基準。</w:t>
      </w:r>
    </w:p>
    <w:p>
      <w:pPr>
        <w:numPr>
          <w:ilvl w:val="0"/>
          <w:numId w:val="1029"/>
        </w:numPr>
        <w:pStyle w:val="Compact"/>
      </w:pPr>
      <w:r>
        <w:t xml:space="preserve">POD|LCA（米国）: Carbon Leadership Forum（ワシントン大）,</w:t>
      </w:r>
      <w:r>
        <w:t xml:space="preserve"> </w:t>
      </w:r>
      <w:r>
        <w:t xml:space="preserve">“</w:t>
      </w:r>
      <w:r>
        <w:t xml:space="preserve">Parametric Open Data for Life Cycle Assessment</w:t>
      </w:r>
      <w:r>
        <w:t xml:space="preserve">”</w:t>
      </w:r>
      <w:r>
        <w:t xml:space="preserve"> </w:t>
      </w:r>
      <w:r>
        <w:t xml:space="preserve">project（2023〜、約$3.7M）。動的LCA・time-explicit LCA・生物由来炭素を含む研究/ツール開発。https://carbonleadershipforum.org/podlca-project/</w:t>
      </w:r>
    </w:p>
    <w:p>
      <w:pPr>
        <w:numPr>
          <w:ilvl w:val="0"/>
          <w:numId w:val="1029"/>
        </w:numPr>
        <w:pStyle w:val="Compact"/>
      </w:pPr>
      <w:r>
        <w:t xml:space="preserve">Université Gustave Eiffel（A. Ventura）.</w:t>
      </w:r>
      <w:r>
        <w:t xml:space="preserve"> </w:t>
      </w:r>
      <w:r>
        <w:rPr>
          <w:i/>
        </w:rPr>
        <w:t xml:space="preserve">Recommandations pour l’introduction de l’ACV dynamique dans la RE2020</w:t>
      </w:r>
      <w:r>
        <w:t xml:space="preserve">（公開技術ノート）. [RE2020係数</w:t>
      </w:r>
      <w:r>
        <w:t xml:space="preserve"> </w:t>
      </w:r>
      <m:oMath>
        <m:r>
          <m:t>1</m:t>
        </m:r>
        <m:r>
          <m:t>−</m:t>
        </m:r>
        <m:r>
          <m:t>0.00842</m:t>
        </m:r>
        <m:r>
          <m:t>t</m:t>
        </m:r>
      </m:oMath>
      <w:r>
        <w:t xml:space="preserve"> </w:t>
      </w:r>
      <w:r>
        <w:t xml:space="preserve">がBenoist 2009表IV.7由来であること、Solinnen手法に基づくこと、t=50で0.72とすべきこと（約35%過大評価）を明示した一次資料]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2026-06-12T01:49:31Z</dcterms:created>
  <dcterms:modified xsi:type="dcterms:W3CDTF">2026-06-12T01:49:31Z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目次</vt:lpwstr>
  </property>
</Properties>
</file>