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フランスre2020-ダイナミックlca調査"/>
      <w:r>
        <w:t xml:space="preserve">フランスRE2020 ダイナミックLCA調査</w:t>
      </w:r>
      <w:bookmarkEnd w:id="20"/>
    </w:p>
    <w:p>
      <w:pPr>
        <w:pStyle w:val="Heading2"/>
      </w:pPr>
      <w:bookmarkStart w:id="21" w:name="ブロック1-政策及び制度調査-報告書v2"/>
      <w:r>
        <w:t xml:space="preserve">ブロック(1) 政策及び制度調査 報告書（v2）</w:t>
      </w:r>
      <w:bookmarkEnd w:id="21"/>
    </w:p>
    <w:p>
      <w:pPr>
        <w:pStyle w:val="FirstParagraph"/>
      </w:pPr>
      <w:r>
        <w:t xml:space="preserve">作成日：2026年6月12日／</w:t>
      </w:r>
      <w:r>
        <w:rPr>
          <w:b/>
        </w:rPr>
        <w:t xml:space="preserve">v2更新：2026年6月15日（PMO整合性レビュー反映）</w:t>
      </w:r>
      <w:r>
        <w:t xml:space="preserve">／作成：調査係A（ブロック1担当）</w:t>
      </w:r>
      <w:r>
        <w:t xml:space="preserve"> </w:t>
      </w:r>
      <w:r>
        <w:t xml:space="preserve">対象読者：林野庁（日本における建築物LCA・炭素貯蔵評価制度検討の参考資料）</w:t>
      </w:r>
    </w:p>
    <w:p>
      <w:pPr>
        <w:pStyle w:val="BlockText"/>
      </w:pPr>
      <w:r>
        <w:rPr>
          <w:b/>
        </w:rPr>
        <w:t xml:space="preserve">【v2改訂サマリー（2026-06-15）】</w:t>
      </w:r>
      <w:r>
        <w:t xml:space="preserve"> </w:t>
      </w:r>
      <w:r>
        <w:t xml:space="preserve">既存プロジェクト成果物・統合報告書v2.0・他AI作成資料を横断照合し、Web一次資料（IPCC AR4/AR5原典、Université Gustave Eiffel技術ノート、Ventura 2022、EUR-Lex、政府公式ガイド）で再検証のうえ以下を是正・明確化した。①Venturaの「約25%過大評価」（査読論文 Int. J. LCA 2022）と「t=50係数を0.72へ＝約35%過大評価」（Université Gustave Eiffel技術ノート 2021）は</w:t>
      </w:r>
      <w:r>
        <w:rPr>
          <w:b/>
        </w:rPr>
        <w:t xml:space="preserve">別文書・別主張</w:t>
      </w:r>
      <w:r>
        <w:t xml:space="preserve">であり、出所を厳密に区別。②線形近似 f_CO2(t)≒1−0.00842·t の公式形は</w:t>
      </w:r>
      <w:r>
        <w:rPr>
          <w:b/>
        </w:rPr>
        <w:t xml:space="preserve">切片=1</w:t>
      </w:r>
      <w:r>
        <w:t xml:space="preserve">（「1.0053」は回帰の副産物）。0.00842はBenoist (2009) 博士論文 表IV.7・168頁由来で確定。③seuil値・EPBD 2024/1275スケジュール・AR4基礎は一次資料で再確認、変更なし。本文の数値は前版から下方修正なし（PMOスコア管理: ブロック①92.7以上を維持）。</w:t>
      </w:r>
    </w:p>
    <w:p>
      <w:r>
        <w:pict>
          <v:rect style="width:0;height:1.5pt" o:hralign="center" o:hrstd="t" o:hr="t"/>
        </w:pict>
      </w:r>
    </w:p>
    <w:p>
      <w:pPr>
        <w:pStyle w:val="Heading2"/>
      </w:pPr>
      <w:bookmarkStart w:id="22" w:name="エグゼクティブサマリー"/>
      <w:r>
        <w:t xml:space="preserve">エグゼクティブサマリー</w:t>
      </w:r>
      <w:bookmarkEnd w:id="22"/>
    </w:p>
    <w:p>
      <w:pPr>
        <w:pStyle w:val="FirstParagraph"/>
      </w:pPr>
      <w:r>
        <w:t xml:space="preserve">フランスは2022年1月、新築建築物に対する規制「</w:t>
      </w:r>
      <w:r>
        <w:rPr>
          <w:b/>
        </w:rPr>
        <w:t xml:space="preserve">RE2020</w:t>
      </w:r>
      <w:r>
        <w:t xml:space="preserve">（Réglementation Environnementale 2020、2020年環境規制）」を施行し、</w:t>
      </w:r>
      <w:r>
        <w:rPr>
          <w:b/>
        </w:rPr>
        <w:t xml:space="preserve">世界で初めて、建築物のライフサイクル全体のCO2排出（エンボディドカーボンを含む）に法的拘束力のある上限値（閾値）を課す</w:t>
      </w:r>
      <w:r>
        <w:t xml:space="preserve">とともに、その算定方法として**簡易ダイナミックLCA（ACV dynamique simplifiée）**を採用した。</w:t>
      </w:r>
    </w:p>
    <w:p>
      <w:pPr>
        <w:numPr>
          <w:ilvl w:val="0"/>
          <w:numId w:val="1001"/>
        </w:numPr>
        <w:pStyle w:val="Compact"/>
      </w:pPr>
      <w:r>
        <w:rPr>
          <w:b/>
        </w:rPr>
        <w:t xml:space="preserve">制度の骨格</w:t>
      </w:r>
      <w:r>
        <w:t xml:space="preserve">：根拠法はELAN法（2018年）第181条。デクレ第2021-1004号（2021年7月29日）が建設住宅法典（CCH）R.172-1～R.172-9条として性能要求を定め、アレテ（省令）2021年8月4日付が閾値と計算方法（附属書II）を定める。規制指標は6つで、うち炭素系は「Ic construction（資材・施工起源、kg CO2eq/m²）」と「Ic énergie（運用エネルギー起源）」の2つ。</w:t>
      </w:r>
      <w:r>
        <w:rPr>
          <w:b/>
        </w:rPr>
        <w:t xml:space="preserve">2022→2025→2028→2031年の4段階で閾値を漸進的に強化</w:t>
      </w:r>
      <w:r>
        <w:t xml:space="preserve">（Ic constructionで概ね▲15%→▲25%→▲30～40%）。</w:t>
      </w:r>
    </w:p>
    <w:p>
      <w:pPr>
        <w:numPr>
          <w:ilvl w:val="0"/>
          <w:numId w:val="1001"/>
        </w:numPr>
        <w:pStyle w:val="Compact"/>
      </w:pPr>
      <w:r>
        <w:rPr>
          <w:b/>
        </w:rPr>
        <w:t xml:space="preserve">ダイナミックLCAの内容</w:t>
      </w:r>
      <w:r>
        <w:t xml:space="preserve">：建築物の参照耐用期間（PER）を</w:t>
      </w:r>
      <w:r>
        <w:rPr>
          <w:b/>
        </w:rPr>
        <w:t xml:space="preserve">50年</w:t>
      </w:r>
      <w:r>
        <w:t xml:space="preserve">に固定し、竣工後100年時点の累積放射強制力に基づき、</w:t>
      </w:r>
      <w:r>
        <w:rPr>
          <w:b/>
        </w:rPr>
        <w:t xml:space="preserve">排出年が遅いほど小さい重み係数</w:t>
      </w:r>
      <w:r>
        <w:t xml:space="preserve">（CO2：t=0で1.0、t=50で0.578／冷媒フロン：t=50で0.88）を乗じる。生産・施工はt=0、解体・廃棄（モジュールC）と再資源化便益（モジュールD）はt=50に計上されるため、</w:t>
      </w:r>
      <w:r>
        <w:rPr>
          <w:b/>
        </w:rPr>
        <w:t xml:space="preserve">木材等バイオ由来材料の「成長時CO2吸収（t=0でマイナス計上）＋50年後の再放出（0.578掛け）」が正味でクレジット化</w:t>
      </w:r>
      <w:r>
        <w:t xml:space="preserve">され、炭素を一時貯蔵する材料が構造的に有利になる。</w:t>
      </w:r>
    </w:p>
    <w:p>
      <w:pPr>
        <w:numPr>
          <w:ilvl w:val="0"/>
          <w:numId w:val="1001"/>
        </w:numPr>
        <w:pStyle w:val="Compact"/>
      </w:pPr>
      <w:r>
        <w:rPr>
          <w:b/>
        </w:rPr>
        <w:t xml:space="preserve">政策的性格</w:t>
      </w:r>
      <w:r>
        <w:t xml:space="preserve">：この方式は物理的厳密性よりも「排出の先送り・炭素の一時貯蔵を促す」</w:t>
      </w:r>
      <w:r>
        <w:rPr>
          <w:b/>
        </w:rPr>
        <w:t xml:space="preserve">政治的・政策的選択</w:t>
      </w:r>
      <w:r>
        <w:t xml:space="preserve">であることが政府委託の学術ノート（ギュスターヴ・エッフェル大学、2021年）でも明示されており、係数の過大評価（50年時点で約35%）等の方法論的批判、セメント・鉱物系業界の強い反発、EN 15804/ISO 14067等の国際規格との不整合が指摘されている。一方、木材・バイオ系業界はDHUP（住宅・都市計画局）への連名書簡（2019年6月）等で強く支持した。</w:t>
      </w:r>
    </w:p>
    <w:p>
      <w:pPr>
        <w:numPr>
          <w:ilvl w:val="0"/>
          <w:numId w:val="1001"/>
        </w:numPr>
        <w:pStyle w:val="Compact"/>
      </w:pPr>
      <w:r>
        <w:rPr>
          <w:b/>
        </w:rPr>
        <w:t xml:space="preserve">背景</w:t>
      </w:r>
      <w:r>
        <w:t xml:space="preserve">：2016～2020年の</w:t>
      </w:r>
      <w:r>
        <w:rPr>
          <w:b/>
        </w:rPr>
        <w:t xml:space="preserve">E+C-実証実験</w:t>
      </w:r>
      <w:r>
        <w:t xml:space="preserve">（参加1,000棟超の観測データベース）→16の専門家グループ（GE）・4つの協議グループによる大規模協議（2018～2020年）→2021年法令化、という段階的プロセスを経た。所管はエコロジー移行省DHUP、技術中核はCSTB、データ基盤はINIESデータベース。国家低炭素戦略（SNBC：2050年カーボンニュートラル）と木材・バイオ素材振興（「Ambition Bois-Construction 2030」計画、気候レジリエンス法39条の公共建築バイオ素材25%義務等）に接続する。</w:t>
      </w:r>
    </w:p>
    <w:p>
      <w:pPr>
        <w:numPr>
          <w:ilvl w:val="0"/>
          <w:numId w:val="1001"/>
        </w:numPr>
        <w:pStyle w:val="Compact"/>
      </w:pPr>
      <w:r>
        <w:rPr>
          <w:b/>
        </w:rPr>
        <w:t xml:space="preserve">現在の論点（2025年Rivaton報告書）</w:t>
      </w:r>
      <w:r>
        <w:t xml:space="preserve">：コスト増（2031年までに約+11%）、データ基盤（EN 15804+A2移行）の動揺、そして</w:t>
      </w:r>
      <w:r>
        <w:rPr>
          <w:b/>
        </w:rPr>
        <w:t xml:space="preserve">EU建物エネルギー性能指令（EPBD 2024/1275）が静的LCA（EN 15978・Level(s)指標1.2）ベースのGWP表示を2028/2030年から義務化</w:t>
      </w:r>
      <w:r>
        <w:t xml:space="preserve">することに伴う「フランス独自のダイナミックLCAと欧州枠組みの整合」リスクが最大の検討課題。ただし同報告書もダイナミックLCA自体の廃止は勧告しておらず、制度の基本構造は維持されている。</w:t>
      </w:r>
    </w:p>
    <w:p>
      <w:r>
        <w:pict>
          <v:rect style="width:0;height:1.5pt" o:hralign="center" o:hrstd="t" o:hr="t"/>
        </w:pict>
      </w:r>
    </w:p>
    <w:p>
      <w:pPr>
        <w:pStyle w:val="Heading2"/>
      </w:pPr>
      <w:bookmarkStart w:id="23" w:name="X88f36f8f788b23af7872d3ebd81aaf6020d0146"/>
      <w:r>
        <w:t xml:space="preserve">① 建築環境性能評価制度（建築物LCA）の全体構造</w:t>
      </w:r>
      <w:bookmarkEnd w:id="23"/>
    </w:p>
    <w:p>
      <w:pPr>
        <w:pStyle w:val="Heading3"/>
      </w:pPr>
      <w:bookmarkStart w:id="24" w:name="X324f1e165f9c3a44b639ec8079597fc5c59a012"/>
      <w:r>
        <w:t xml:space="preserve">①-ア RE2020における建築物LCAの位置付け</w:t>
      </w:r>
      <w:bookmarkEnd w:id="24"/>
    </w:p>
    <w:p>
      <w:pPr>
        <w:pStyle w:val="FirstParagraph"/>
      </w:pPr>
      <w:r>
        <w:rPr>
          <w:b/>
        </w:rPr>
        <w:t xml:space="preserve">(1) 規制の性格</w:t>
      </w:r>
      <w:r>
        <w:t xml:space="preserve"> </w:t>
      </w:r>
      <w:r>
        <w:t xml:space="preserve">RE2020は、従来の断熱・省エネ規制RT2012（Réglementation Thermique 2012）を置き換える、フランス初の「エネルギー</w:t>
      </w:r>
      <w:r>
        <w:rPr>
          <w:b/>
        </w:rPr>
        <w:t xml:space="preserve">かつ</w:t>
      </w:r>
      <w:r>
        <w:t xml:space="preserve">環境」規制である。新築建築物について、(a)エネルギー性能の向上、(b)ライフサイクル全体の温室効果ガス（GHG）排出の削減、(c)夏季快適性（温暖化適応）の3目的を持つ（RE2020公式ガイド2024年1月版、p.5, p.7）。LCAは(b)を担保する中核手法として</w:t>
      </w:r>
      <w:r>
        <w:rPr>
          <w:b/>
        </w:rPr>
        <w:t xml:space="preserve">初めて規制計算に全面導入</w:t>
      </w:r>
      <w:r>
        <w:t xml:space="preserve">された（同ガイド p.5「NOUVEAU」、p.53）。</w:t>
      </w:r>
    </w:p>
    <w:p>
      <w:pPr>
        <w:pStyle w:val="BodyText"/>
      </w:pPr>
      <w:r>
        <w:rPr>
          <w:b/>
        </w:rPr>
        <w:t xml:space="preserve">(2) 法体系</w:t>
      </w:r>
    </w:p>
    <w:tbl>
      <w:tblPr>
        <w:tblStyle w:val="Table"/>
        <w:tblW w:type="pct" w:w="0.0"/>
        <w:tblLook w:firstRow="1"/>
      </w:tblPr>
      <w:tblGrid/>
      <w:tr>
        <w:trPr>
          <w:cnfStyle w:firstRow="1"/>
        </w:trPr>
        <w:tc>
          <w:tcPr>
            <w:tcBorders>
              <w:bottom w:val="single"/>
            </w:tcBorders>
            <w:vAlign w:val="bottom"/>
          </w:tcPr>
          <w:p>
            <w:pPr>
              <w:pStyle w:val="Compact"/>
              <w:jc w:val="left"/>
            </w:pPr>
            <w:r>
              <w:t xml:space="preserve">階層</w:t>
            </w:r>
          </w:p>
        </w:tc>
        <w:tc>
          <w:tcPr>
            <w:tcBorders>
              <w:bottom w:val="single"/>
            </w:tcBorders>
            <w:vAlign w:val="bottom"/>
          </w:tcPr>
          <w:p>
            <w:pPr>
              <w:pStyle w:val="Compact"/>
              <w:jc w:val="left"/>
            </w:pPr>
            <w:r>
              <w:t xml:space="preserve">文書</w:t>
            </w:r>
          </w:p>
        </w:tc>
        <w:tc>
          <w:tcPr>
            <w:tcBorders>
              <w:bottom w:val="single"/>
            </w:tcBorders>
            <w:vAlign w:val="bottom"/>
          </w:tcPr>
          <w:p>
            <w:pPr>
              <w:pStyle w:val="Compact"/>
              <w:jc w:val="left"/>
            </w:pPr>
            <w:r>
              <w:t xml:space="preserve">内容</w:t>
            </w:r>
          </w:p>
        </w:tc>
      </w:tr>
      <w:tr>
        <w:tc>
          <w:p>
            <w:pPr>
              <w:pStyle w:val="Compact"/>
              <w:jc w:val="left"/>
            </w:pPr>
            <w:r>
              <w:t xml:space="preserve">法律</w:t>
            </w:r>
          </w:p>
        </w:tc>
        <w:tc>
          <w:p>
            <w:pPr>
              <w:pStyle w:val="Compact"/>
              <w:jc w:val="left"/>
            </w:pPr>
            <w:r>
              <w:t xml:space="preserve">ELAN法（loi n°2018-1021、2018年）第181条／エネルギー移行法LTECV（2015年）</w:t>
            </w:r>
          </w:p>
        </w:tc>
        <w:tc>
          <w:p>
            <w:pPr>
              <w:pStyle w:val="Compact"/>
              <w:jc w:val="left"/>
            </w:pPr>
            <w:r>
              <w:t xml:space="preserve">将来の環境規制（ライフサイクルGHG評価を含む）の根拠・目標設定（ガイド p.27-28）</w:t>
            </w:r>
          </w:p>
        </w:tc>
      </w:tr>
      <w:tr>
        <w:tc>
          <w:p>
            <w:pPr>
              <w:pStyle w:val="Compact"/>
              <w:jc w:val="left"/>
            </w:pPr>
            <w:r>
              <w:t xml:space="preserve">法典</w:t>
            </w:r>
          </w:p>
        </w:tc>
        <w:tc>
          <w:p>
            <w:pPr>
              <w:pStyle w:val="Compact"/>
              <w:jc w:val="left"/>
            </w:pPr>
            <w:r>
              <w:t xml:space="preserve">建設住宅法典（CCH）第I巻第VII編、R.172-1～R.172-9条</w:t>
            </w:r>
          </w:p>
        </w:tc>
        <w:tc>
          <w:p>
            <w:pPr>
              <w:pStyle w:val="Compact"/>
              <w:jc w:val="left"/>
            </w:pPr>
            <w:r>
              <w:t xml:space="preserve">適用対象・5つの結果要求・算定根拠（デクレで創設）</w:t>
            </w:r>
          </w:p>
        </w:tc>
      </w:tr>
      <w:tr>
        <w:tc>
          <w:p>
            <w:pPr>
              <w:pStyle w:val="Compact"/>
              <w:jc w:val="left"/>
            </w:pPr>
            <w:r>
              <w:t xml:space="preserve">デクレ</w:t>
            </w:r>
          </w:p>
        </w:tc>
        <w:tc>
          <w:p>
            <w:pPr>
              <w:pStyle w:val="Compact"/>
              <w:jc w:val="left"/>
            </w:pPr>
            <w:r>
              <w:rPr>
                <w:b/>
              </w:rPr>
              <w:t xml:space="preserve">décret n°2021-1004（2021年7月29日）</w:t>
            </w:r>
          </w:p>
        </w:tc>
        <w:tc>
          <w:p>
            <w:pPr>
              <w:pStyle w:val="Compact"/>
              <w:jc w:val="left"/>
            </w:pPr>
            <w:r>
              <w:t xml:space="preserve">①躯体のエネルギー設計最適化（Bbio）②一次エネルギー消費制限③エネルギー消費の気候影響制限④</w:t>
            </w:r>
            <w:r>
              <w:rPr>
                <w:b/>
              </w:rPr>
              <w:t xml:space="preserve">建築物コンポーネントの気候影響制限</w:t>
            </w:r>
            <w:r>
              <w:t xml:space="preserve">⑤夏季不快の制限、の5要求を規定。</w:t>
            </w:r>
            <w:hyperlink r:id="rId25">
              <w:r>
                <w:rPr>
                  <w:rStyle w:val="Hyperlink"/>
                </w:rPr>
                <w:t xml:space="preserve">Légifrance JORFTEXT000043877196</w:t>
              </w:r>
            </w:hyperlink>
          </w:p>
        </w:tc>
      </w:tr>
      <w:tr>
        <w:tc>
          <w:p>
            <w:pPr>
              <w:pStyle w:val="Compact"/>
              <w:jc w:val="left"/>
            </w:pPr>
            <w:r>
              <w:t xml:space="preserve">アレテ</w:t>
            </w:r>
          </w:p>
        </w:tc>
        <w:tc>
          <w:p>
            <w:pPr>
              <w:pStyle w:val="Compact"/>
              <w:jc w:val="left"/>
            </w:pPr>
            <w:r>
              <w:rPr>
                <w:b/>
              </w:rPr>
              <w:t xml:space="preserve">arrêté du 4 août 2021</w:t>
            </w:r>
            <w:r>
              <w:t xml:space="preserve">（NOR: LOGL2107359A、JO 2021年8月15日）</w:t>
            </w:r>
          </w:p>
        </w:tc>
        <w:tc>
          <w:p>
            <w:pPr>
              <w:pStyle w:val="Compact"/>
              <w:jc w:val="left"/>
            </w:pPr>
            <w:r>
              <w:t xml:space="preserve">閾値（第IV編）、重み係数（第11条）、計算方法（附属書II「一般規則」、附属書III「Th-BCE 2020」、附属書IV「Th-Bat 2020」）（同アレテ前文・第8条）</w:t>
            </w:r>
          </w:p>
        </w:tc>
      </w:tr>
    </w:tbl>
    <w:p>
      <w:pPr>
        <w:pStyle w:val="BodyText"/>
      </w:pPr>
      <w:r>
        <w:rPr>
          <w:b/>
        </w:rPr>
        <w:t xml:space="preserve">(3) 規制上のLCAの使われ方</w:t>
      </w:r>
    </w:p>
    <w:p>
      <w:pPr>
        <w:numPr>
          <w:ilvl w:val="0"/>
          <w:numId w:val="1002"/>
        </w:numPr>
        <w:pStyle w:val="Compact"/>
      </w:pPr>
      <w:r>
        <w:t xml:space="preserve">6指標（Bbio、Cep、Cep,nr、Ic énergie、Ic construction、DH）のうち、LCAに基づく炭素指標は</w:t>
      </w:r>
      <w:r>
        <w:t xml:space="preserve"> </w:t>
      </w:r>
      <w:r>
        <w:rPr>
          <w:b/>
        </w:rPr>
        <w:t xml:space="preserve">Ic énergie</w:t>
      </w:r>
      <w:r>
        <w:t xml:space="preserve"> </w:t>
      </w:r>
      <w:r>
        <w:t xml:space="preserve">と</w:t>
      </w:r>
      <w:r>
        <w:t xml:space="preserve"> </w:t>
      </w:r>
      <w:r>
        <w:rPr>
          <w:b/>
        </w:rPr>
        <w:t xml:space="preserve">Ic construction</w:t>
      </w:r>
      <w:r>
        <w:t xml:space="preserve">（後者は「コンポーネント」＋「工事」寄与の合計）（ガイド p.5, p.13-14）。</w:t>
      </w:r>
    </w:p>
    <w:p>
      <w:pPr>
        <w:numPr>
          <w:ilvl w:val="0"/>
          <w:numId w:val="1002"/>
        </w:numPr>
        <w:pStyle w:val="Compact"/>
      </w:pPr>
      <w:r>
        <w:t xml:space="preserve">36の環境影響指標（気候変動、酸化層破壊、酸性化等）が同時に算定されるが、</w:t>
      </w:r>
      <w:r>
        <w:rPr>
          <w:b/>
        </w:rPr>
        <w:t xml:space="preserve">規制閾値が課されるのは気候変動影響のみ</w:t>
      </w:r>
      <w:r>
        <w:t xml:space="preserve">（ガイド p.15, p.56）。</w:t>
      </w:r>
    </w:p>
    <w:p>
      <w:pPr>
        <w:numPr>
          <w:ilvl w:val="0"/>
          <w:numId w:val="1002"/>
        </w:numPr>
        <w:pStyle w:val="Compact"/>
      </w:pPr>
      <w:r>
        <w:t xml:space="preserve">建築主は建築許可（PC）段階と竣工段階の2回、適合証明（attestation）を提出し、標準化された計算結果ファイル（RSEE）が2022年以降CSTBにより収集される（ガイド p.36；Rivaton報告書 p.31）。</w:t>
      </w:r>
    </w:p>
    <w:p>
      <w:pPr>
        <w:numPr>
          <w:ilvl w:val="0"/>
          <w:numId w:val="1002"/>
        </w:numPr>
        <w:pStyle w:val="Compact"/>
      </w:pPr>
      <w:r>
        <w:t xml:space="preserve">計算は国が承認したソフトウェア（熱：CSTB評価、環境：Cerema評価）でのみ実施可能（アレテ第12条；Rivaton報告書 p.31）。</w:t>
      </w:r>
    </w:p>
    <w:p>
      <w:pPr>
        <w:pStyle w:val="FirstParagraph"/>
      </w:pPr>
      <w:r>
        <w:rPr>
          <w:b/>
        </w:rPr>
        <w:t xml:space="preserve">出典</w:t>
      </w:r>
      <w:r>
        <w:t xml:space="preserve">：guide_re2020_version_janvier_2024.pdf p.5-7, 13-15, 27-28, 36, 53-56；arrêté du 4 août 2021（参考文献PDF「Droit national en vigueur」収載）前文・第8・11・12条；</w:t>
      </w:r>
      <w:hyperlink r:id="rId25">
        <w:r>
          <w:rPr>
            <w:rStyle w:val="Hyperlink"/>
          </w:rPr>
          <w:t xml:space="preserve">décret n°2021-1004（Légifrance）</w:t>
        </w:r>
      </w:hyperlink>
      <w:r>
        <w:t xml:space="preserve">；</w:t>
      </w:r>
      <w:hyperlink r:id="rId26">
        <w:r>
          <w:rPr>
            <w:rStyle w:val="Hyperlink"/>
          </w:rPr>
          <w:t xml:space="preserve">RT-RE-bâtiment（政府公式サイト）</w:t>
        </w:r>
      </w:hyperlink>
    </w:p>
    <w:p>
      <w:pPr>
        <w:pStyle w:val="Heading3"/>
      </w:pPr>
      <w:bookmarkStart w:id="27" w:name="X2beca29049c1d9f9771a0c254ac3a53363e6ba1"/>
      <w:r>
        <w:t xml:space="preserve">①-イ 環境性能評価方法（対象区分、Ic指標と閾値）</w:t>
      </w:r>
      <w:bookmarkEnd w:id="27"/>
    </w:p>
    <w:p>
      <w:pPr>
        <w:pStyle w:val="FirstParagraph"/>
      </w:pPr>
      <w:r>
        <w:rPr>
          <w:b/>
        </w:rPr>
        <w:t xml:space="preserve">(1) 対象建築物の区分と適用日</w:t>
      </w:r>
      <w:r>
        <w:t xml:space="preserve">（ガイド p.7, p.34；アレテ第1～3条）</w:t>
      </w:r>
    </w:p>
    <w:tbl>
      <w:tblPr>
        <w:tblStyle w:val="Table"/>
        <w:tblW w:type="pct" w:w="0.0"/>
        <w:tblLook w:firstRow="1"/>
      </w:tblPr>
      <w:tblGrid/>
      <w:tr>
        <w:trPr>
          <w:cnfStyle w:firstRow="1"/>
        </w:trPr>
        <w:tc>
          <w:tcPr>
            <w:tcBorders>
              <w:bottom w:val="single"/>
            </w:tcBorders>
            <w:vAlign w:val="bottom"/>
          </w:tcPr>
          <w:p>
            <w:pPr>
              <w:pStyle w:val="Compact"/>
              <w:jc w:val="left"/>
            </w:pPr>
            <w:r>
              <w:t xml:space="preserve">用途区分</w:t>
            </w:r>
          </w:p>
        </w:tc>
        <w:tc>
          <w:tcPr>
            <w:tcBorders>
              <w:bottom w:val="single"/>
            </w:tcBorders>
            <w:vAlign w:val="bottom"/>
          </w:tcPr>
          <w:p>
            <w:pPr>
              <w:pStyle w:val="Compact"/>
              <w:jc w:val="left"/>
            </w:pPr>
            <w:r>
              <w:t xml:space="preserve">RE2020適用開始日</w:t>
            </w:r>
          </w:p>
        </w:tc>
      </w:tr>
      <w:tr>
        <w:tc>
          <w:p>
            <w:pPr>
              <w:pStyle w:val="Compact"/>
              <w:jc w:val="left"/>
            </w:pPr>
            <w:r>
              <w:t xml:space="preserve">住宅（戸建・集合）</w:t>
            </w:r>
          </w:p>
        </w:tc>
        <w:tc>
          <w:p>
            <w:pPr>
              <w:pStyle w:val="Compact"/>
              <w:jc w:val="left"/>
            </w:pPr>
            <w:r>
              <w:t xml:space="preserve">2022年1月1日</w:t>
            </w:r>
          </w:p>
        </w:tc>
      </w:tr>
      <w:tr>
        <w:tc>
          <w:p>
            <w:pPr>
              <w:pStyle w:val="Compact"/>
              <w:jc w:val="left"/>
            </w:pPr>
            <w:r>
              <w:t xml:space="preserve">事務所、初等・中等教育施設</w:t>
            </w:r>
          </w:p>
        </w:tc>
        <w:tc>
          <w:p>
            <w:pPr>
              <w:pStyle w:val="Compact"/>
              <w:jc w:val="left"/>
            </w:pPr>
            <w:r>
              <w:t xml:space="preserve">2022年7月1日</w:t>
            </w:r>
          </w:p>
        </w:tc>
      </w:tr>
      <w:tr>
        <w:tc>
          <w:p>
            <w:pPr>
              <w:pStyle w:val="Compact"/>
              <w:jc w:val="left"/>
            </w:pPr>
            <w:r>
              <w:t xml:space="preserve">上記用途の小規模建築・増築</w:t>
            </w:r>
          </w:p>
        </w:tc>
        <w:tc>
          <w:p>
            <w:pPr>
              <w:pStyle w:val="Compact"/>
              <w:jc w:val="left"/>
            </w:pPr>
            <w:r>
              <w:t xml:space="preserve">2023年1月1日</w:t>
            </w:r>
          </w:p>
        </w:tc>
      </w:tr>
      <w:tr>
        <w:tc>
          <w:p>
            <w:pPr>
              <w:pStyle w:val="Compact"/>
              <w:jc w:val="left"/>
            </w:pPr>
            <w:r>
              <w:t xml:space="preserve">レジャー用軽量住宅（HLL）50m²未満</w:t>
            </w:r>
          </w:p>
        </w:tc>
        <w:tc>
          <w:p>
            <w:pPr>
              <w:pStyle w:val="Compact"/>
              <w:jc w:val="left"/>
            </w:pPr>
            <w:r>
              <w:t xml:space="preserve">2023年1月1日</w:t>
            </w:r>
          </w:p>
        </w:tc>
      </w:tr>
      <w:tr>
        <w:tc>
          <w:p>
            <w:pPr>
              <w:pStyle w:val="Compact"/>
              <w:jc w:val="left"/>
            </w:pPr>
            <w:r>
              <w:t xml:space="preserve">仮設建築物（住宅・事務所・学校用途）</w:t>
            </w:r>
          </w:p>
        </w:tc>
        <w:tc>
          <w:p>
            <w:pPr>
              <w:pStyle w:val="Compact"/>
              <w:jc w:val="left"/>
            </w:pPr>
            <w:r>
              <w:t xml:space="preserve">2023年7月1日</w:t>
            </w:r>
          </w:p>
        </w:tc>
      </w:tr>
      <w:tr>
        <w:tc>
          <w:p>
            <w:pPr>
              <w:pStyle w:val="Compact"/>
              <w:jc w:val="left"/>
            </w:pPr>
            <w:r>
              <w:t xml:space="preserve">その他用途（商業・物流等「特定三次部門」）</w:t>
            </w:r>
          </w:p>
        </w:tc>
        <w:tc>
          <w:p>
            <w:pPr>
              <w:pStyle w:val="Compact"/>
              <w:jc w:val="left"/>
            </w:pPr>
            <w:r>
              <w:t xml:space="preserve">2024年6月30日以降の別途法令（</w:t>
            </w:r>
            <w:r>
              <w:rPr>
                <w:b/>
              </w:rPr>
              <w:t xml:space="preserve">2025年時点で未施行</w:t>
            </w:r>
            <w:r>
              <w:t xml:space="preserve">。Rivaton報告書は早期対象化を勧告）</w:t>
            </w:r>
          </w:p>
        </w:tc>
      </w:tr>
    </w:tbl>
    <w:p>
      <w:pPr>
        <w:numPr>
          <w:ilvl w:val="0"/>
          <w:numId w:val="1003"/>
        </w:numPr>
        <w:pStyle w:val="Compact"/>
      </w:pPr>
      <w:r>
        <w:t xml:space="preserve">適用判定は建築許可申請日ベース。</w:t>
      </w:r>
      <w:r>
        <w:rPr>
          <w:b/>
        </w:rPr>
        <w:t xml:space="preserve">海外県（DOM）には適用されない</w:t>
      </w:r>
      <w:r>
        <w:t xml:space="preserve">（ガイド p.7, p.34）。</w:t>
      </w:r>
    </w:p>
    <w:p>
      <w:pPr>
        <w:numPr>
          <w:ilvl w:val="0"/>
          <w:numId w:val="1003"/>
        </w:numPr>
        <w:pStyle w:val="Compact"/>
      </w:pPr>
      <w:r>
        <w:rPr>
          <w:b/>
        </w:rPr>
        <w:t xml:space="preserve">既存建築（改修）はRE2020の対象外</w:t>
      </w:r>
      <w:r>
        <w:t xml:space="preserve">であり、既存建築物の改修は別規制（RT existant：2007年5月3日アレテ等）とDPE（エネルギー性能診断）が担う。増築・嵩上げはRE2020の適用（一部簡略要求）を受け、Rivaton報告書（2025年）は増改築の負担軽減・改修との整合を勧告している（Rivaton p.54-55, 勧告18-20）。</w:t>
      </w:r>
    </w:p>
    <w:p>
      <w:pPr>
        <w:pStyle w:val="FirstParagraph"/>
      </w:pPr>
      <w:r>
        <w:rPr>
          <w:b/>
        </w:rPr>
        <w:t xml:space="preserve">(2) 炭素指標Icの体系</w:t>
      </w:r>
      <w:r>
        <w:t xml:space="preserve">（ガイド p.13-15）</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指標</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規制閾値</w:t>
            </w:r>
          </w:p>
        </w:tc>
      </w:tr>
      <w:tr>
        <w:tc>
          <w:p>
            <w:pPr>
              <w:pStyle w:val="Compact"/>
              <w:jc w:val="left"/>
            </w:pPr>
            <w:r>
              <w:rPr>
                <w:b/>
              </w:rPr>
              <w:t xml:space="preserve">Ic construction</w:t>
            </w:r>
          </w:p>
        </w:tc>
        <w:tc>
          <w:p>
            <w:pPr>
              <w:pStyle w:val="Compact"/>
              <w:jc w:val="left"/>
            </w:pPr>
            <w:r>
              <w:t xml:space="preserve">「コンポーネント（資材・設備）」＋「工事（chantier）」寄与のライフサイクルGHG影響（kg CO2eq/m²・PER50年）</w:t>
            </w:r>
          </w:p>
        </w:tc>
        <w:tc>
          <w:p>
            <w:pPr>
              <w:pStyle w:val="Compact"/>
              <w:jc w:val="left"/>
            </w:pPr>
            <w:r>
              <w:t xml:space="preserve">あり（Ic construction_max）</w:t>
            </w:r>
          </w:p>
        </w:tc>
      </w:tr>
      <w:tr>
        <w:tc>
          <w:p>
            <w:pPr>
              <w:pStyle w:val="Compact"/>
              <w:jc w:val="left"/>
            </w:pPr>
            <w:r>
              <w:rPr>
                <w:b/>
              </w:rPr>
              <w:t xml:space="preserve">Ic énergie</w:t>
            </w:r>
          </w:p>
        </w:tc>
        <w:tc>
          <w:p>
            <w:pPr>
              <w:pStyle w:val="Compact"/>
              <w:jc w:val="left"/>
            </w:pPr>
            <w:r>
              <w:t xml:space="preserve">運用エネルギー消費50年分のGHG影響（kg CO2eq/m²）</w:t>
            </w:r>
          </w:p>
        </w:tc>
        <w:tc>
          <w:p>
            <w:pPr>
              <w:pStyle w:val="Compact"/>
              <w:jc w:val="left"/>
            </w:pPr>
            <w:r>
              <w:t xml:space="preserve">あり（Ic énergie_max）</w:t>
            </w:r>
          </w:p>
        </w:tc>
      </w:tr>
      <w:tr>
        <w:tc>
          <w:p>
            <w:pPr>
              <w:pStyle w:val="Compact"/>
              <w:jc w:val="left"/>
            </w:pPr>
            <w:r>
              <w:t xml:space="preserve">Ic bâtiment</w:t>
            </w:r>
          </w:p>
        </w:tc>
        <w:tc>
          <w:p>
            <w:pPr>
              <w:pStyle w:val="Compact"/>
              <w:jc w:val="left"/>
            </w:pPr>
            <w:r>
              <w:t xml:space="preserve">コンポーネント＋エネルギー＋工事＋水の4寄与合計</w:t>
            </w:r>
          </w:p>
        </w:tc>
        <w:tc>
          <w:p>
            <w:pPr>
              <w:pStyle w:val="Compact"/>
              <w:jc w:val="left"/>
            </w:pPr>
            <w:r>
              <w:t xml:space="preserve">なし（情報指標）</w:t>
            </w:r>
          </w:p>
        </w:tc>
      </w:tr>
      <w:tr>
        <w:tc>
          <w:p>
            <w:pPr>
              <w:pStyle w:val="Compact"/>
              <w:jc w:val="left"/>
            </w:pPr>
            <w:r>
              <w:rPr>
                <w:b/>
              </w:rPr>
              <w:t xml:space="preserve">StockC</w:t>
            </w:r>
          </w:p>
        </w:tc>
        <w:tc>
          <w:p>
            <w:pPr>
              <w:pStyle w:val="Compact"/>
              <w:jc w:val="left"/>
            </w:pPr>
            <w:r>
              <w:t xml:space="preserve">建築物に貯蔵される生物由来炭素量（kg C/m²）</w:t>
            </w:r>
          </w:p>
        </w:tc>
        <w:tc>
          <w:p>
            <w:pPr>
              <w:pStyle w:val="Compact"/>
              <w:jc w:val="left"/>
            </w:pPr>
            <w:r>
              <w:t xml:space="preserve">なし（情報指標）→③参照</w:t>
            </w:r>
          </w:p>
        </w:tc>
      </w:tr>
      <w:tr>
        <w:tc>
          <w:p>
            <w:pPr>
              <w:pStyle w:val="Compact"/>
              <w:jc w:val="left"/>
            </w:pPr>
            <w:r>
              <w:t xml:space="preserve">Ic ded</w:t>
            </w:r>
          </w:p>
        </w:tc>
        <w:tc>
          <w:p>
            <w:pPr>
              <w:pStyle w:val="Compact"/>
              <w:jc w:val="left"/>
            </w:pPr>
            <w:r>
              <w:t xml:space="preserve">デフォルトデータ起因の影響量</w:t>
            </w:r>
          </w:p>
        </w:tc>
        <w:tc>
          <w:p>
            <w:pPr>
              <w:pStyle w:val="Compact"/>
              <w:jc w:val="left"/>
            </w:pPr>
            <w:r>
              <w:t xml:space="preserve">なし（情報指標）</w:t>
            </w:r>
          </w:p>
        </w:tc>
      </w:tr>
    </w:tbl>
    <w:p>
      <w:pPr>
        <w:pStyle w:val="BodyText"/>
      </w:pPr>
      <w:r>
        <w:rPr>
          <w:b/>
        </w:rPr>
        <w:t xml:space="preserve">(3) Ic construction_max（平均値、kg CO2eq/m²）— 段階強化スケジュール</w:t>
      </w:r>
      <w:r>
        <w:t xml:space="preserve">（ガイド p.22）</w:t>
      </w:r>
    </w:p>
    <w:tbl>
      <w:tblPr>
        <w:tblStyle w:val="Table"/>
        <w:tblW w:type="pct" w:w="0.0"/>
        <w:tblLook w:firstRow="1"/>
      </w:tblPr>
      <w:tblGrid/>
      <w:tr>
        <w:trPr>
          <w:cnfStyle w:firstRow="1"/>
        </w:trPr>
        <w:tc>
          <w:tcPr>
            <w:tcBorders>
              <w:bottom w:val="single"/>
            </w:tcBorders>
            <w:vAlign w:val="bottom"/>
          </w:tcPr>
          <w:p>
            <w:pPr>
              <w:pStyle w:val="Compact"/>
              <w:jc w:val="left"/>
            </w:pPr>
            <w:r>
              <w:t xml:space="preserve">用途</w:t>
            </w:r>
          </w:p>
        </w:tc>
        <w:tc>
          <w:tcPr>
            <w:tcBorders>
              <w:bottom w:val="single"/>
            </w:tcBorders>
            <w:vAlign w:val="bottom"/>
          </w:tcPr>
          <w:p>
            <w:pPr>
              <w:pStyle w:val="Compact"/>
              <w:jc w:val="left"/>
            </w:pPr>
            <w:r>
              <w:t xml:space="preserve">2022–2024</w:t>
            </w:r>
          </w:p>
        </w:tc>
        <w:tc>
          <w:tcPr>
            <w:tcBorders>
              <w:bottom w:val="single"/>
            </w:tcBorders>
            <w:vAlign w:val="bottom"/>
          </w:tcPr>
          <w:p>
            <w:pPr>
              <w:pStyle w:val="Compact"/>
              <w:jc w:val="left"/>
            </w:pPr>
            <w:r>
              <w:t xml:space="preserve">2025–2027</w:t>
            </w:r>
          </w:p>
        </w:tc>
        <w:tc>
          <w:tcPr>
            <w:tcBorders>
              <w:bottom w:val="single"/>
            </w:tcBorders>
            <w:vAlign w:val="bottom"/>
          </w:tcPr>
          <w:p>
            <w:pPr>
              <w:pStyle w:val="Compact"/>
              <w:jc w:val="left"/>
            </w:pPr>
            <w:r>
              <w:t xml:space="preserve">2028–2030</w:t>
            </w:r>
          </w:p>
        </w:tc>
        <w:tc>
          <w:tcPr>
            <w:tcBorders>
              <w:bottom w:val="single"/>
            </w:tcBorders>
            <w:vAlign w:val="bottom"/>
          </w:tcPr>
          <w:p>
            <w:pPr>
              <w:pStyle w:val="Compact"/>
              <w:jc w:val="left"/>
            </w:pPr>
            <w:r>
              <w:t xml:space="preserve">2031～</w:t>
            </w:r>
          </w:p>
        </w:tc>
      </w:tr>
      <w:tr>
        <w:tc>
          <w:p>
            <w:pPr>
              <w:pStyle w:val="Compact"/>
              <w:jc w:val="left"/>
            </w:pPr>
            <w:r>
              <w:t xml:space="preserve">戸建住宅</w:t>
            </w:r>
          </w:p>
        </w:tc>
        <w:tc>
          <w:p>
            <w:pPr>
              <w:pStyle w:val="Compact"/>
              <w:jc w:val="left"/>
            </w:pPr>
            <w:r>
              <w:t xml:space="preserve">640</w:t>
            </w:r>
          </w:p>
        </w:tc>
        <w:tc>
          <w:p>
            <w:pPr>
              <w:pStyle w:val="Compact"/>
              <w:jc w:val="left"/>
            </w:pPr>
            <w:r>
              <w:t xml:space="preserve">530</w:t>
            </w:r>
          </w:p>
        </w:tc>
        <w:tc>
          <w:p>
            <w:pPr>
              <w:pStyle w:val="Compact"/>
              <w:jc w:val="left"/>
            </w:pPr>
            <w:r>
              <w:t xml:space="preserve">475</w:t>
            </w:r>
          </w:p>
        </w:tc>
        <w:tc>
          <w:p>
            <w:pPr>
              <w:pStyle w:val="Compact"/>
              <w:jc w:val="left"/>
            </w:pPr>
            <w:r>
              <w:t xml:space="preserve">415</w:t>
            </w:r>
          </w:p>
        </w:tc>
      </w:tr>
      <w:tr>
        <w:tc>
          <w:p>
            <w:pPr>
              <w:pStyle w:val="Compact"/>
              <w:jc w:val="left"/>
            </w:pPr>
            <w:r>
              <w:t xml:space="preserve">集合住宅</w:t>
            </w:r>
          </w:p>
        </w:tc>
        <w:tc>
          <w:p>
            <w:pPr>
              <w:pStyle w:val="Compact"/>
              <w:jc w:val="left"/>
            </w:pPr>
            <w:r>
              <w:t xml:space="preserve">740</w:t>
            </w:r>
          </w:p>
        </w:tc>
        <w:tc>
          <w:p>
            <w:pPr>
              <w:pStyle w:val="Compact"/>
              <w:jc w:val="left"/>
            </w:pPr>
            <w:r>
              <w:t xml:space="preserve">650</w:t>
            </w:r>
          </w:p>
        </w:tc>
        <w:tc>
          <w:p>
            <w:pPr>
              <w:pStyle w:val="Compact"/>
              <w:jc w:val="left"/>
            </w:pPr>
            <w:r>
              <w:t xml:space="preserve">580</w:t>
            </w:r>
          </w:p>
        </w:tc>
        <w:tc>
          <w:p>
            <w:pPr>
              <w:pStyle w:val="Compact"/>
              <w:jc w:val="left"/>
            </w:pPr>
            <w:r>
              <w:t xml:space="preserve">490</w:t>
            </w:r>
          </w:p>
        </w:tc>
      </w:tr>
      <w:tr>
        <w:tc>
          <w:p>
            <w:pPr>
              <w:pStyle w:val="Compact"/>
              <w:jc w:val="left"/>
            </w:pPr>
            <w:r>
              <w:t xml:space="preserve">事務所</w:t>
            </w:r>
          </w:p>
        </w:tc>
        <w:tc>
          <w:p>
            <w:pPr>
              <w:pStyle w:val="Compact"/>
              <w:jc w:val="left"/>
            </w:pPr>
            <w:r>
              <w:t xml:space="preserve">980</w:t>
            </w:r>
          </w:p>
        </w:tc>
        <w:tc>
          <w:p>
            <w:pPr>
              <w:pStyle w:val="Compact"/>
              <w:jc w:val="left"/>
            </w:pPr>
            <w:r>
              <w:t xml:space="preserve">810</w:t>
            </w:r>
          </w:p>
        </w:tc>
        <w:tc>
          <w:p>
            <w:pPr>
              <w:pStyle w:val="Compact"/>
              <w:jc w:val="left"/>
            </w:pPr>
            <w:r>
              <w:t xml:space="preserve">710</w:t>
            </w:r>
          </w:p>
        </w:tc>
        <w:tc>
          <w:p>
            <w:pPr>
              <w:pStyle w:val="Compact"/>
              <w:jc w:val="left"/>
            </w:pPr>
            <w:r>
              <w:t xml:space="preserve">600</w:t>
            </w:r>
          </w:p>
        </w:tc>
      </w:tr>
      <w:tr>
        <w:tc>
          <w:p>
            <w:pPr>
              <w:pStyle w:val="Compact"/>
              <w:jc w:val="left"/>
            </w:pPr>
            <w:r>
              <w:t xml:space="preserve">初等・中等教育</w:t>
            </w:r>
          </w:p>
        </w:tc>
        <w:tc>
          <w:p>
            <w:pPr>
              <w:pStyle w:val="Compact"/>
              <w:jc w:val="left"/>
            </w:pPr>
            <w:r>
              <w:t xml:space="preserve">900</w:t>
            </w:r>
          </w:p>
        </w:tc>
        <w:tc>
          <w:p>
            <w:pPr>
              <w:pStyle w:val="Compact"/>
              <w:jc w:val="left"/>
            </w:pPr>
            <w:r>
              <w:t xml:space="preserve">770</w:t>
            </w:r>
          </w:p>
        </w:tc>
        <w:tc>
          <w:p>
            <w:pPr>
              <w:pStyle w:val="Compact"/>
              <w:jc w:val="left"/>
            </w:pPr>
            <w:r>
              <w:t xml:space="preserve">680</w:t>
            </w:r>
          </w:p>
        </w:tc>
        <w:tc>
          <w:p>
            <w:pPr>
              <w:pStyle w:val="Compact"/>
              <w:jc w:val="left"/>
            </w:pPr>
            <w:r>
              <w:t xml:space="preserve">590</w:t>
            </w:r>
          </w:p>
        </w:tc>
      </w:tr>
    </w:tbl>
    <w:p>
      <w:pPr>
        <w:pStyle w:val="BodyText"/>
      </w:pPr>
      <w:r>
        <w:t xml:space="preserve">（2022年比の強化率は概ね2025年▲12～17%、2028年▲22～26%、2031年▲32～39%。政府公表時の目安は「2025年▲15%、2028年▲25%、2031年▲30～40%」：210222 RE2020 Dynamic LCA.pdf スライド2）</w:t>
      </w:r>
    </w:p>
    <w:p>
      <w:pPr>
        <w:pStyle w:val="BodyText"/>
      </w:pPr>
      <w:r>
        <w:rPr>
          <w:b/>
        </w:rPr>
        <w:t xml:space="preserve">(4) Ic énergie_max（平均値、kg CO2eq/m²・50年）</w:t>
      </w:r>
      <w:r>
        <w:t xml:space="preserve">（ガイド p.20）</w:t>
      </w:r>
    </w:p>
    <w:tbl>
      <w:tblPr>
        <w:tblStyle w:val="Table"/>
        <w:tblW w:type="pct" w:w="0.0"/>
        <w:tblLook w:firstRow="1"/>
      </w:tblPr>
      <w:tblGrid/>
      <w:tr>
        <w:trPr>
          <w:cnfStyle w:firstRow="1"/>
        </w:trPr>
        <w:tc>
          <w:tcPr>
            <w:tcBorders>
              <w:bottom w:val="single"/>
            </w:tcBorders>
            <w:vAlign w:val="bottom"/>
          </w:tcPr>
          <w:p>
            <w:pPr>
              <w:pStyle w:val="Compact"/>
              <w:jc w:val="left"/>
            </w:pPr>
            <w:r>
              <w:t xml:space="preserve">用途</w:t>
            </w:r>
          </w:p>
        </w:tc>
        <w:tc>
          <w:tcPr>
            <w:tcBorders>
              <w:bottom w:val="single"/>
            </w:tcBorders>
            <w:vAlign w:val="bottom"/>
          </w:tcPr>
          <w:p>
            <w:pPr>
              <w:pStyle w:val="Compact"/>
              <w:jc w:val="left"/>
            </w:pPr>
            <w:r>
              <w:t xml:space="preserve">2022–2024</w:t>
            </w:r>
          </w:p>
        </w:tc>
        <w:tc>
          <w:tcPr>
            <w:tcBorders>
              <w:bottom w:val="single"/>
            </w:tcBorders>
            <w:vAlign w:val="bottom"/>
          </w:tcPr>
          <w:p>
            <w:pPr>
              <w:pStyle w:val="Compact"/>
              <w:jc w:val="left"/>
            </w:pPr>
            <w:r>
              <w:t xml:space="preserve">2025–2027</w:t>
            </w:r>
          </w:p>
        </w:tc>
        <w:tc>
          <w:tcPr>
            <w:tcBorders>
              <w:bottom w:val="single"/>
            </w:tcBorders>
            <w:vAlign w:val="bottom"/>
          </w:tcPr>
          <w:p>
            <w:pPr>
              <w:pStyle w:val="Compact"/>
              <w:jc w:val="left"/>
            </w:pPr>
            <w:r>
              <w:t xml:space="preserve">2028～</w:t>
            </w:r>
          </w:p>
        </w:tc>
      </w:tr>
      <w:tr>
        <w:tc>
          <w:p>
            <w:pPr>
              <w:pStyle w:val="Compact"/>
              <w:jc w:val="left"/>
            </w:pPr>
            <w:r>
              <w:t xml:space="preserve">戸建住宅</w:t>
            </w:r>
          </w:p>
        </w:tc>
        <w:tc>
          <w:p>
            <w:pPr>
              <w:pStyle w:val="Compact"/>
              <w:jc w:val="left"/>
            </w:pPr>
            <w:r>
              <w:t xml:space="preserve">160（経過措置280）</w:t>
            </w:r>
          </w:p>
        </w:tc>
        <w:tc>
          <w:p>
            <w:pPr>
              <w:pStyle w:val="Compact"/>
              <w:jc w:val="left"/>
            </w:pPr>
            <w:r>
              <w:t xml:space="preserve">160</w:t>
            </w:r>
          </w:p>
        </w:tc>
        <w:tc>
          <w:p>
            <w:pPr>
              <w:pStyle w:val="Compact"/>
              <w:jc w:val="left"/>
            </w:pPr>
            <w:r>
              <w:t xml:space="preserve">160</w:t>
            </w:r>
          </w:p>
        </w:tc>
      </w:tr>
      <w:tr>
        <w:tc>
          <w:p>
            <w:pPr>
              <w:pStyle w:val="Compact"/>
              <w:jc w:val="left"/>
            </w:pPr>
            <w:r>
              <w:t xml:space="preserve">集合住宅（地域熱供給接続）</w:t>
            </w:r>
          </w:p>
        </w:tc>
        <w:tc>
          <w:p>
            <w:pPr>
              <w:pStyle w:val="Compact"/>
              <w:jc w:val="left"/>
            </w:pPr>
            <w:r>
              <w:t xml:space="preserve">560</w:t>
            </w:r>
          </w:p>
        </w:tc>
        <w:tc>
          <w:p>
            <w:pPr>
              <w:pStyle w:val="Compact"/>
              <w:jc w:val="left"/>
            </w:pPr>
            <w:r>
              <w:t xml:space="preserve">320</w:t>
            </w:r>
          </w:p>
        </w:tc>
        <w:tc>
          <w:p>
            <w:pPr>
              <w:pStyle w:val="Compact"/>
              <w:jc w:val="left"/>
            </w:pPr>
            <w:r>
              <w:t xml:space="preserve">260</w:t>
            </w:r>
          </w:p>
        </w:tc>
      </w:tr>
      <w:tr>
        <w:tc>
          <w:p>
            <w:pPr>
              <w:pStyle w:val="Compact"/>
              <w:jc w:val="left"/>
            </w:pPr>
            <w:r>
              <w:t xml:space="preserve">集合住宅（その他）</w:t>
            </w:r>
          </w:p>
        </w:tc>
        <w:tc>
          <w:p>
            <w:pPr>
              <w:pStyle w:val="Compact"/>
              <w:jc w:val="left"/>
            </w:pPr>
            <w:r>
              <w:t xml:space="preserve">560</w:t>
            </w:r>
          </w:p>
        </w:tc>
        <w:tc>
          <w:p>
            <w:pPr>
              <w:pStyle w:val="Compact"/>
              <w:jc w:val="left"/>
            </w:pPr>
            <w:r>
              <w:t xml:space="preserve">260</w:t>
            </w:r>
          </w:p>
        </w:tc>
        <w:tc>
          <w:p>
            <w:pPr>
              <w:pStyle w:val="Compact"/>
              <w:jc w:val="left"/>
            </w:pPr>
            <w:r>
              <w:t xml:space="preserve">260</w:t>
            </w:r>
          </w:p>
        </w:tc>
      </w:tr>
      <w:tr>
        <w:tc>
          <w:p>
            <w:pPr>
              <w:pStyle w:val="Compact"/>
              <w:jc w:val="left"/>
            </w:pPr>
            <w:r>
              <w:t xml:space="preserve">事務所（地域熱供給接続／他）</w:t>
            </w:r>
          </w:p>
        </w:tc>
        <w:tc>
          <w:p>
            <w:pPr>
              <w:pStyle w:val="Compact"/>
              <w:jc w:val="left"/>
            </w:pPr>
            <w:r>
              <w:t xml:space="preserve">280／200</w:t>
            </w:r>
          </w:p>
        </w:tc>
        <w:tc>
          <w:p>
            <w:pPr>
              <w:pStyle w:val="Compact"/>
              <w:jc w:val="left"/>
            </w:pPr>
            <w:r>
              <w:t xml:space="preserve">200／200</w:t>
            </w:r>
          </w:p>
        </w:tc>
        <w:tc>
          <w:p>
            <w:pPr>
              <w:pStyle w:val="Compact"/>
              <w:jc w:val="left"/>
            </w:pPr>
            <w:r>
              <w:t xml:space="preserve">200／200</w:t>
            </w:r>
          </w:p>
        </w:tc>
      </w:tr>
      <w:tr>
        <w:tc>
          <w:p>
            <w:pPr>
              <w:pStyle w:val="Compact"/>
              <w:jc w:val="left"/>
            </w:pPr>
            <w:r>
              <w:t xml:space="preserve">教育施設（地域熱供給接続／他）</w:t>
            </w:r>
          </w:p>
        </w:tc>
        <w:tc>
          <w:p>
            <w:pPr>
              <w:pStyle w:val="Compact"/>
              <w:jc w:val="left"/>
            </w:pPr>
            <w:r>
              <w:t xml:space="preserve">240／240</w:t>
            </w:r>
          </w:p>
        </w:tc>
        <w:tc>
          <w:p>
            <w:pPr>
              <w:pStyle w:val="Compact"/>
              <w:jc w:val="left"/>
            </w:pPr>
            <w:r>
              <w:t xml:space="preserve">200／140</w:t>
            </w:r>
          </w:p>
        </w:tc>
        <w:tc>
          <w:p>
            <w:pPr>
              <w:pStyle w:val="Compact"/>
              <w:jc w:val="left"/>
            </w:pPr>
            <w:r>
              <w:t xml:space="preserve">140／140</w:t>
            </w:r>
          </w:p>
        </w:tc>
      </w:tr>
    </w:tbl>
    <w:p>
      <w:pPr>
        <w:numPr>
          <w:ilvl w:val="0"/>
          <w:numId w:val="1004"/>
        </w:numPr>
        <w:pStyle w:val="Compact"/>
      </w:pPr>
      <w:r>
        <w:t xml:space="preserve">いずれの閾値も、地理区分・屋根裏面積・平均住戸面積・地下駐車場・デフォルトデータ使用率等に応じた</w:t>
      </w:r>
      <w:r>
        <w:rPr>
          <w:b/>
        </w:rPr>
        <w:t xml:space="preserve">モジュレーション係数</w:t>
      </w:r>
      <w:r>
        <w:t xml:space="preserve">（Micombles, Misurf, Miinfra, Mivrd, Migéo, Mipv, Mided等）で個別調整される（ガイド p.21-23；Rivaton p.38-39）。</w:t>
      </w:r>
    </w:p>
    <w:p>
      <w:pPr>
        <w:numPr>
          <w:ilvl w:val="0"/>
          <w:numId w:val="1004"/>
        </w:numPr>
        <w:pStyle w:val="Compact"/>
      </w:pPr>
      <w:r>
        <w:t xml:space="preserve">評価範囲：建築許可の範囲（建物＋敷地）。時間的範囲は資材製造～解体まで（</w:t>
      </w:r>
      <w:r>
        <w:rPr>
          <w:b/>
        </w:rPr>
        <w:t xml:space="preserve">事前解体・除染は除外</w:t>
      </w:r>
      <w:r>
        <w:t xml:space="preserve">）。物理的範囲から利用者の移動・家具家電・事業系廃棄物は除外（ガイド p.6, p.37-40）。面積原単位は住宅SHAB／非住宅SU。</w:t>
      </w:r>
    </w:p>
    <w:p>
      <w:pPr>
        <w:pStyle w:val="FirstParagraph"/>
      </w:pPr>
      <w:r>
        <w:rPr>
          <w:b/>
        </w:rPr>
        <w:t xml:space="preserve">出典</w:t>
      </w:r>
      <w:r>
        <w:t xml:space="preserve">：guide_re2020_version_janvier_2024.pdf p.6-7, 13-15, 20-23, 34, 37-40；arrêté du 4 août 2021 第IV編・附属書II；10.07.2025_Rapport_Robin_Rivaton_RE2020.pdf p.38-39, 54-56</w:t>
      </w:r>
    </w:p>
    <w:p>
      <w:pPr>
        <w:pStyle w:val="Heading3"/>
      </w:pPr>
      <w:bookmarkStart w:id="28" w:name="X5a5e5dc5ff2eb92b99edc17e9d4b0afddcd85fe"/>
      <w:r>
        <w:t xml:space="preserve">①-ウ Level(s)及びEN 15978との関係性</w:t>
      </w:r>
      <w:bookmarkEnd w:id="28"/>
    </w:p>
    <w:p>
      <w:pPr>
        <w:pStyle w:val="FirstParagraph"/>
      </w:pPr>
      <w:r>
        <w:rPr>
          <w:b/>
        </w:rPr>
        <w:t xml:space="preserve">(1) 規格上の土台</w:t>
      </w:r>
    </w:p>
    <w:p>
      <w:pPr>
        <w:numPr>
          <w:ilvl w:val="0"/>
          <w:numId w:val="1005"/>
        </w:numPr>
        <w:pStyle w:val="Compact"/>
      </w:pPr>
      <w:r>
        <w:t xml:space="preserve">RE2020のLCA方法論は、建築物レベルの欧州規格</w:t>
      </w:r>
      <w:r>
        <w:t xml:space="preserve"> </w:t>
      </w:r>
      <w:r>
        <w:rPr>
          <w:b/>
        </w:rPr>
        <w:t xml:space="preserve">EN 15978</w:t>
      </w:r>
      <w:r>
        <w:t xml:space="preserve">（建築物の環境性能評価）のライフサイクル段階区分（A1–A3生産／A4–A5施工／B1–B7使用／C1–C4解体・廃棄／D：システム外便益）を基本的に踏襲する（アレテ附属書II 第1章 Tableau 4；Rivaton p.31「NF EN 15978に大きく依拠」）。</w:t>
      </w:r>
    </w:p>
    <w:p>
      <w:pPr>
        <w:numPr>
          <w:ilvl w:val="0"/>
          <w:numId w:val="1005"/>
        </w:numPr>
        <w:pStyle w:val="Compact"/>
      </w:pPr>
      <w:r>
        <w:t xml:space="preserve">製品レベルのデータ（FDES＝建材環境・衛生宣言、PEP＝設備環境プロファイル）は</w:t>
      </w:r>
      <w:r>
        <w:t xml:space="preserve"> </w:t>
      </w:r>
      <w:r>
        <w:rPr>
          <w:b/>
        </w:rPr>
        <w:t xml:space="preserve">EN 15804+A2</w:t>
      </w:r>
      <w:r>
        <w:t xml:space="preserve"> </w:t>
      </w:r>
      <w:r>
        <w:t xml:space="preserve">＋フランス国内補足</w:t>
      </w:r>
      <w:r>
        <w:t xml:space="preserve"> </w:t>
      </w:r>
      <w:r>
        <w:rPr>
          <w:b/>
        </w:rPr>
        <w:t xml:space="preserve">NF EN 15804+A2/CN</w:t>
      </w:r>
      <w:r>
        <w:t xml:space="preserve"> </w:t>
      </w:r>
      <w:r>
        <w:t xml:space="preserve">に準拠し、第三者検証の上、</w:t>
      </w:r>
      <w:r>
        <w:rPr>
          <w:b/>
        </w:rPr>
        <w:t xml:space="preserve">INIESデータベース</w:t>
      </w:r>
      <w:r>
        <w:t xml:space="preserve">に収載されることが利用条件（ガイド p.43-45；Rivaton p.32）。</w:t>
      </w:r>
    </w:p>
    <w:p>
      <w:pPr>
        <w:pStyle w:val="FirstParagraph"/>
      </w:pPr>
      <w:r>
        <w:rPr>
          <w:b/>
        </w:rPr>
        <w:t xml:space="preserve">(2) RE2020が欧州規格から逸脱する主な点</w:t>
      </w:r>
    </w:p>
    <w:tbl>
      <w:tblPr>
        <w:tblStyle w:val="Table"/>
        <w:tblW w:type="pct" w:w="0.0"/>
        <w:tblLook w:firstRow="1"/>
      </w:tblPr>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EN 15978／Level(s)</w:t>
            </w:r>
          </w:p>
        </w:tc>
        <w:tc>
          <w:tcPr>
            <w:tcBorders>
              <w:bottom w:val="single"/>
            </w:tcBorders>
            <w:vAlign w:val="bottom"/>
          </w:tcPr>
          <w:p>
            <w:pPr>
              <w:pStyle w:val="Compact"/>
              <w:jc w:val="left"/>
            </w:pPr>
            <w:r>
              <w:t xml:space="preserve">RE2020</w:t>
            </w:r>
          </w:p>
        </w:tc>
      </w:tr>
      <w:tr>
        <w:tc>
          <w:p>
            <w:pPr>
              <w:pStyle w:val="Compact"/>
              <w:jc w:val="left"/>
            </w:pPr>
            <w:r>
              <w:t xml:space="preserve">時間取扱い</w:t>
            </w:r>
          </w:p>
        </w:tc>
        <w:tc>
          <w:p>
            <w:pPr>
              <w:pStyle w:val="Compact"/>
              <w:jc w:val="left"/>
            </w:pPr>
            <w:r>
              <w:t xml:space="preserve">静的GWP100（一時貯蔵の便益計上を認めない）</w:t>
            </w:r>
          </w:p>
        </w:tc>
        <w:tc>
          <w:p>
            <w:pPr>
              <w:pStyle w:val="Compact"/>
              <w:jc w:val="left"/>
            </w:pPr>
            <w:r>
              <w:rPr>
                <w:b/>
              </w:rPr>
              <w:t xml:space="preserve">簡易ダイナミックLCA</w:t>
            </w:r>
            <w:r>
              <w:t xml:space="preserve">（排出時期で重み付け）</w:t>
            </w:r>
          </w:p>
        </w:tc>
      </w:tr>
      <w:tr>
        <w:tc>
          <w:p>
            <w:pPr>
              <w:pStyle w:val="Compact"/>
              <w:jc w:val="left"/>
            </w:pPr>
            <w:r>
              <w:t xml:space="preserve">モジュールD</w:t>
            </w:r>
          </w:p>
        </w:tc>
        <w:tc>
          <w:p>
            <w:pPr>
              <w:pStyle w:val="Compact"/>
              <w:jc w:val="left"/>
            </w:pPr>
            <w:r>
              <w:t xml:space="preserve">主要結果と</w:t>
            </w:r>
            <w:r>
              <w:rPr>
                <w:b/>
              </w:rPr>
              <w:t xml:space="preserve">分離して</w:t>
            </w:r>
            <w:r>
              <w:t xml:space="preserve">報告（A2改訂で明確化）</w:t>
            </w:r>
          </w:p>
        </w:tc>
        <w:tc>
          <w:p>
            <w:pPr>
              <w:pStyle w:val="Compact"/>
              <w:jc w:val="left"/>
            </w:pPr>
            <w:r>
              <w:rPr>
                <w:b/>
              </w:rPr>
              <w:t xml:space="preserve">Ic constructionの合計に算入</w:t>
            </w:r>
            <w:r>
              <w:t xml:space="preserve">（アレテ附属書II式(30)(34)）</w:t>
            </w:r>
          </w:p>
        </w:tc>
      </w:tr>
      <w:tr>
        <w:tc>
          <w:p>
            <w:pPr>
              <w:pStyle w:val="Compact"/>
              <w:jc w:val="left"/>
            </w:pPr>
            <w:r>
              <w:t xml:space="preserve">評価期間</w:t>
            </w:r>
          </w:p>
        </w:tc>
        <w:tc>
          <w:p>
            <w:pPr>
              <w:pStyle w:val="Compact"/>
              <w:jc w:val="left"/>
            </w:pPr>
            <w:r>
              <w:t xml:space="preserve">任意（RSP設定）</w:t>
            </w:r>
          </w:p>
        </w:tc>
        <w:tc>
          <w:p>
            <w:pPr>
              <w:pStyle w:val="Compact"/>
              <w:jc w:val="left"/>
            </w:pPr>
            <w:r>
              <w:t xml:space="preserve">PER=50年に固定</w:t>
            </w:r>
          </w:p>
        </w:tc>
      </w:tr>
      <w:tr>
        <w:tc>
          <w:p>
            <w:pPr>
              <w:pStyle w:val="Compact"/>
              <w:jc w:val="left"/>
            </w:pPr>
            <w:r>
              <w:t xml:space="preserve">義務性</w:t>
            </w:r>
          </w:p>
        </w:tc>
        <w:tc>
          <w:p>
            <w:pPr>
              <w:pStyle w:val="Compact"/>
              <w:jc w:val="left"/>
            </w:pPr>
            <w:r>
              <w:t xml:space="preserve">任意規格／自主的枠組み</w:t>
            </w:r>
          </w:p>
        </w:tc>
        <w:tc>
          <w:p>
            <w:pPr>
              <w:pStyle w:val="Compact"/>
              <w:jc w:val="left"/>
            </w:pPr>
            <w:r>
              <w:t xml:space="preserve">閾値付きの強行規制</w:t>
            </w:r>
          </w:p>
        </w:tc>
      </w:tr>
    </w:tbl>
    <w:p>
      <w:pPr>
        <w:pStyle w:val="BodyText"/>
      </w:pPr>
      <w:r>
        <w:rPr>
          <w:b/>
        </w:rPr>
        <w:t xml:space="preserve">(3) Level(s)・EPBDとの関係</w:t>
      </w:r>
    </w:p>
    <w:p>
      <w:pPr>
        <w:numPr>
          <w:ilvl w:val="0"/>
          <w:numId w:val="1006"/>
        </w:numPr>
        <w:pStyle w:val="Compact"/>
      </w:pPr>
      <w:r>
        <w:rPr>
          <w:b/>
        </w:rPr>
        <w:t xml:space="preserve">Level(s)</w:t>
      </w:r>
      <w:r>
        <w:t xml:space="preserve"> </w:t>
      </w:r>
      <w:r>
        <w:t xml:space="preserve">はEUの自主的な建築サステナビリティ報告枠組みであり、その指標1.2「ライフサイクルGWP」はEN 15978準拠の</w:t>
      </w:r>
      <w:r>
        <w:rPr>
          <w:b/>
        </w:rPr>
        <w:t xml:space="preserve">静的</w:t>
      </w:r>
      <w:r>
        <w:t xml:space="preserve">計算を規定する（</w:t>
      </w:r>
      <w:hyperlink r:id="rId29">
        <w:r>
          <w:rPr>
            <w:rStyle w:val="Hyperlink"/>
          </w:rPr>
          <w:t xml:space="preserve">JRC Level(s)指標1.2マニュアル仏語版</w:t>
        </w:r>
      </w:hyperlink>
      <w:r>
        <w:t xml:space="preserve">）。</w:t>
      </w:r>
    </w:p>
    <w:p>
      <w:pPr>
        <w:numPr>
          <w:ilvl w:val="0"/>
          <w:numId w:val="1006"/>
        </w:numPr>
        <w:pStyle w:val="Compact"/>
      </w:pPr>
      <w:r>
        <w:t xml:space="preserve">改正EPBD（</w:t>
      </w:r>
      <w:r>
        <w:rPr>
          <w:b/>
        </w:rPr>
        <w:t xml:space="preserve">指令(EU) 2024/1275</w:t>
      </w:r>
      <w:r>
        <w:t xml:space="preserve">）は、Level(s)枠組みに基づくライフサイクルGWPの算定・表示を**2028年（延床1,000m²超の新築）／2030年（全新築）**から義務化し、加盟国に2027年までにGWP上限値導入のロードマップ公表を求める（</w:t>
      </w:r>
      <w:hyperlink r:id="rId30">
        <w:r>
          <w:rPr>
            <w:rStyle w:val="Hyperlink"/>
          </w:rPr>
          <w:t xml:space="preserve">欧州委員会：Global warming potential of buildings</w:t>
        </w:r>
      </w:hyperlink>
      <w:r>
        <w:t xml:space="preserve">）。</w:t>
      </w:r>
    </w:p>
    <w:p>
      <w:pPr>
        <w:numPr>
          <w:ilvl w:val="0"/>
          <w:numId w:val="1006"/>
        </w:numPr>
        <w:pStyle w:val="Compact"/>
      </w:pPr>
      <w:r>
        <w:t xml:space="preserve">Rivaton報告書（2025年、p.52-53）は、EPBDの委任法令が時間ステップ（静的/動的）・参照期間（30/50/60年）等で加盟国に裁量を残す見込みとしつつ、「フランスが欧州で独自の選択のまま孤立すれば、（FDESとEPDの二重計算など）運用上・法律上の圧力が高まる」と整合リスクを明記している。</w:t>
      </w:r>
    </w:p>
    <w:p>
      <w:pPr>
        <w:numPr>
          <w:ilvl w:val="0"/>
          <w:numId w:val="1006"/>
        </w:numPr>
        <w:pStyle w:val="Compact"/>
      </w:pPr>
      <w:r>
        <w:t xml:space="preserve">なお、フランス政府は2021年2月18日、ダイナミックLCA方法論の</w:t>
      </w:r>
      <w:r>
        <w:rPr>
          <w:b/>
        </w:rPr>
        <w:t xml:space="preserve">標準化（normalisation）手続き開始</w:t>
      </w:r>
      <w:r>
        <w:t xml:space="preserve">の意向を表明している（210222 RE2020 Dynamic LCA.pdf スライド11）。Ventura（2022）も「欧州レベルでのダイナミックGWP規格化の議論が近く始まり得る」と記す（ventura_2022.pdf Abstract）。</w:t>
      </w:r>
    </w:p>
    <w:p>
      <w:pPr>
        <w:pStyle w:val="FirstParagraph"/>
      </w:pPr>
      <w:r>
        <w:rPr>
          <w:b/>
        </w:rPr>
        <w:t xml:space="preserve">出典</w:t>
      </w:r>
      <w:r>
        <w:t xml:space="preserve">：arrêté du 4 août 2021 附属書II（Tableau 4、式30・34）；Rivaton報告書 p.31-35, 52-53；</w:t>
      </w:r>
      <w:hyperlink r:id="rId31">
        <w:r>
          <w:rPr>
            <w:rStyle w:val="Hyperlink"/>
          </w:rPr>
          <w:t xml:space="preserve">JRC Level(s)資料</w:t>
        </w:r>
      </w:hyperlink>
      <w:r>
        <w:t xml:space="preserve">；</w:t>
      </w:r>
      <w:hyperlink r:id="rId30">
        <w:r>
          <w:rPr>
            <w:rStyle w:val="Hyperlink"/>
          </w:rPr>
          <w:t xml:space="preserve">欧州委員会EPBD GWPページ</w:t>
        </w:r>
      </w:hyperlink>
      <w:r>
        <w:t xml:space="preserve">；ventura_2022.pdf</w:t>
      </w:r>
    </w:p>
    <w:p>
      <w:pPr>
        <w:pStyle w:val="Heading3"/>
      </w:pPr>
      <w:bookmarkStart w:id="32" w:name="Xdad168c305c22faec1a0e469adb37e4b7c0c84d"/>
      <w:r>
        <w:t xml:space="preserve">①-エ サーキュラーエコノミー施策（AGEC法等）との関係性</w:t>
      </w:r>
      <w:bookmarkEnd w:id="32"/>
    </w:p>
    <w:p>
      <w:pPr>
        <w:numPr>
          <w:ilvl w:val="0"/>
          <w:numId w:val="1007"/>
        </w:numPr>
        <w:pStyle w:val="Compact"/>
      </w:pPr>
      <w:r>
        <w:rPr>
          <w:b/>
        </w:rPr>
        <w:t xml:space="preserve">AGEC法</w:t>
      </w:r>
      <w:r>
        <w:t xml:space="preserve">（循環経済・廃棄物対策法、loi n°2020-105、2020年2月10日）は建設分野に対し、(a)解体・大規模改修時の</w:t>
      </w:r>
      <w:r>
        <w:rPr>
          <w:b/>
        </w:rPr>
        <w:t xml:space="preserve">PEMD診断</w:t>
      </w:r>
      <w:r>
        <w:t xml:space="preserve">（製品・設備・資材・廃棄物の再利用可能性診断。2022年1月1日から延床1,000m²超等で義務。décret n°2021-821）、(b)</w:t>
      </w:r>
      <w:r>
        <w:rPr>
          <w:b/>
        </w:rPr>
        <w:t xml:space="preserve">建設資材の拡大生産者責任（REP PMCB）</w:t>
      </w:r>
      <w:r>
        <w:t xml:space="preserve">（décret n°2021-1941、2023年1月1日発効。エコ拠出金により分別廃棄物の無償回収・再資源化をエコ団体が組織）を導入した（</w:t>
      </w:r>
      <w:hyperlink r:id="rId33">
        <w:r>
          <w:rPr>
            <w:rStyle w:val="Hyperlink"/>
          </w:rPr>
          <w:t xml:space="preserve">ecologie.gouv.fr PEMD</w:t>
        </w:r>
      </w:hyperlink>
      <w:r>
        <w:t xml:space="preserve">；</w:t>
      </w:r>
      <w:hyperlink r:id="rId34">
        <w:r>
          <w:rPr>
            <w:rStyle w:val="Hyperlink"/>
          </w:rPr>
          <w:t xml:space="preserve">décret 2021-1941 Légifrance</w:t>
        </w:r>
      </w:hyperlink>
      <w:r>
        <w:t xml:space="preserve">；Rivaton p.51）。</w:t>
      </w:r>
    </w:p>
    <w:p>
      <w:pPr>
        <w:numPr>
          <w:ilvl w:val="0"/>
          <w:numId w:val="1007"/>
        </w:numPr>
        <w:pStyle w:val="Compact"/>
      </w:pPr>
      <w:r>
        <w:rPr>
          <w:b/>
        </w:rPr>
        <w:t xml:space="preserve">RE2020側の循環経済インセンティブ</w:t>
      </w:r>
      <w:r>
        <w:t xml:space="preserve">：再使用（réemploi）・再利用（réutilisation）された建材・設備は、再整備・洗浄・修理以外の再加工を伴わない限り、</w:t>
      </w:r>
      <w:r>
        <w:rPr>
          <w:b/>
        </w:rPr>
        <w:t xml:space="preserve">LCA上「影響ゼロ」として計上できる</w:t>
      </w:r>
      <w:r>
        <w:t xml:space="preserve">（ガイド p.45；Rivaton p.32囲み）。また、モジュールD（リサイクル・エネルギー回収・エネルギー輸出の便益）が指標に算入されるため、再資源化性の高い設計が有利になる（→③-ウ）。</w:t>
      </w:r>
    </w:p>
    <w:p>
      <w:pPr>
        <w:numPr>
          <w:ilvl w:val="0"/>
          <w:numId w:val="1007"/>
        </w:numPr>
        <w:pStyle w:val="Compact"/>
      </w:pPr>
      <w:r>
        <w:rPr>
          <w:b/>
        </w:rPr>
        <w:t xml:space="preserve">接続上の課題</w:t>
      </w:r>
      <w:r>
        <w:t xml:space="preserve">：REP拠出金の料率が新素材に不利（例：麻・藁14.48ユーロ/t vs コンクリート3.12ユーロ/t）である等、RE2020の脱炭素インセンティブとREPの費用負担が必ずしも整合していないことをRivaton報告書が指摘（p.51）。</w:t>
      </w:r>
    </w:p>
    <w:p>
      <w:pPr>
        <w:numPr>
          <w:ilvl w:val="0"/>
          <w:numId w:val="1007"/>
        </w:numPr>
        <w:pStyle w:val="Compact"/>
      </w:pPr>
      <w:r>
        <w:t xml:space="preserve">なお、AGEC法と気候レジリエンス法（loi n°2021-1104）第39条（2030年から公共発注の大規模建設・改修の</w:t>
      </w:r>
      <w:r>
        <w:rPr>
          <w:b/>
        </w:rPr>
        <w:t xml:space="preserve">25%以上にバイオ由来・低炭素素材使用</w:t>
      </w:r>
      <w:r>
        <w:t xml:space="preserve">を義務化。適用デクレは作成中）が、RE2020と並ぶ需要側措置として機能する（</w:t>
      </w:r>
      <w:hyperlink r:id="rId35">
        <w:r>
          <w:rPr>
            <w:rStyle w:val="Hyperlink"/>
          </w:rPr>
          <w:t xml:space="preserve">Sénat質問書回答</w:t>
        </w:r>
      </w:hyperlink>
      <w:r>
        <w:t xml:space="preserve">）。</w:t>
      </w:r>
    </w:p>
    <w:p>
      <w:pPr>
        <w:pStyle w:val="FirstParagraph"/>
      </w:pPr>
      <w:r>
        <w:rPr>
          <w:b/>
        </w:rPr>
        <w:t xml:space="preserve">出典</w:t>
      </w:r>
      <w:r>
        <w:t xml:space="preserve">：guide p.45；Rivaton p.32, 51；</w:t>
      </w:r>
      <w:hyperlink r:id="rId33">
        <w:r>
          <w:rPr>
            <w:rStyle w:val="Hyperlink"/>
          </w:rPr>
          <w:t xml:space="preserve">ecologie.gouv.fr（PEMD）</w:t>
        </w:r>
      </w:hyperlink>
      <w:r>
        <w:t xml:space="preserve">；</w:t>
      </w:r>
      <w:hyperlink r:id="rId34">
        <w:r>
          <w:rPr>
            <w:rStyle w:val="Hyperlink"/>
          </w:rPr>
          <w:t xml:space="preserve">Légifrance（décret 2021-1941）</w:t>
        </w:r>
      </w:hyperlink>
    </w:p>
    <w:p>
      <w:r>
        <w:pict>
          <v:rect style="width:0;height:1.5pt" o:hralign="center" o:hrstd="t" o:hr="t"/>
        </w:pict>
      </w:r>
    </w:p>
    <w:p>
      <w:pPr>
        <w:pStyle w:val="Heading2"/>
      </w:pPr>
      <w:bookmarkStart w:id="36" w:name="X296e1caaa8cc607f4daf685c2735f8aaa5fa582"/>
      <w:r>
        <w:t xml:space="preserve">② ダイナミックLCAの要件整理</w:t>
      </w:r>
      <w:bookmarkEnd w:id="36"/>
    </w:p>
    <w:p>
      <w:pPr>
        <w:pStyle w:val="Heading3"/>
      </w:pPr>
      <w:bookmarkStart w:id="37" w:name="X3228b39bd014c8fcdd542b1ad4dec76591f7311"/>
      <w:r>
        <w:t xml:space="preserve">②-ア 対象建築物の種別・範囲と段階適用（2022/2025/2028/2031）</w:t>
      </w:r>
      <w:bookmarkEnd w:id="37"/>
    </w:p>
    <w:p>
      <w:pPr>
        <w:numPr>
          <w:ilvl w:val="0"/>
          <w:numId w:val="1008"/>
        </w:numPr>
        <w:pStyle w:val="Compact"/>
      </w:pPr>
      <w:r>
        <w:rPr>
          <w:b/>
        </w:rPr>
        <w:t xml:space="preserve">適用対象</w:t>
      </w:r>
      <w:r>
        <w:t xml:space="preserve">：①-イの適用対象（住宅→非住宅→小規模・仮設と順次拡大）と同一であり、ダイナミックLCAはRE2020の気候変動指標（Ic énergie、Ic construction、Ic ded、Ic bâtiment）の計算に</w:t>
      </w:r>
      <w:r>
        <w:rPr>
          <w:b/>
        </w:rPr>
        <w:t xml:space="preserve">一律に適用</w:t>
      </w:r>
      <w:r>
        <w:t xml:space="preserve">される（アレテ第11条）。静的計算の結果も並行して算出・報告されるが、</w:t>
      </w:r>
      <w:r>
        <w:rPr>
          <w:b/>
        </w:rPr>
        <w:t xml:space="preserve">規制適合判定はダイナミック値</w:t>
      </w:r>
      <w:r>
        <w:t xml:space="preserve">で行う（ガイド p.60「Les exigences réglementaires reposent sur l'approche dynamique」）。</w:t>
      </w:r>
    </w:p>
    <w:p>
      <w:pPr>
        <w:numPr>
          <w:ilvl w:val="0"/>
          <w:numId w:val="1008"/>
        </w:numPr>
        <w:pStyle w:val="Compact"/>
      </w:pPr>
      <w:r>
        <w:rPr>
          <w:b/>
        </w:rPr>
        <w:t xml:space="preserve">段階適用</w:t>
      </w:r>
      <w:r>
        <w:t xml:space="preserve">：ダイナミックLCAの方法自体は2022年から完全適用であり、段階性は</w:t>
      </w:r>
      <w:r>
        <w:rPr>
          <w:b/>
        </w:rPr>
        <w:t xml:space="preserve">閾値（Ic construction_max等）の漸進強化</w:t>
      </w:r>
      <w:r>
        <w:t xml:space="preserve">として設計されている（①-イ表参照。2022–24／2025–27／2028–30／2031～の4期）。この漸進性は「建設業界全体がLCA手法を習得し排出を削減するための移行設計」と公式に説明される（ガイド p.22）。Rivaton報告書も「2022-2025-2028-2031の順序が部門別に差別化された漸進努力を可能にした」ことを同制度の強みに挙げる（p.6）。</w:t>
      </w:r>
    </w:p>
    <w:p>
      <w:pPr>
        <w:numPr>
          <w:ilvl w:val="0"/>
          <w:numId w:val="1008"/>
        </w:numPr>
        <w:pStyle w:val="Compact"/>
      </w:pPr>
      <w:r>
        <w:rPr>
          <w:b/>
        </w:rPr>
        <w:t xml:space="preserve">データ規格の時限</w:t>
      </w:r>
      <w:r>
        <w:t xml:space="preserve">：旧規格EN 15804+A1のFDESは2025年12月31日で失効・アーカイブ化され、A2版に全面移行（Rivaton p.33）。2028年以降はデフォルトデータ使用に対する減点モジュレーション（Mided）が発動し、実データ整備が事実上強制される（Rivaton p.36）。</w:t>
      </w:r>
    </w:p>
    <w:p>
      <w:pPr>
        <w:pStyle w:val="FirstParagraph"/>
      </w:pPr>
      <w:r>
        <w:rPr>
          <w:b/>
        </w:rPr>
        <w:t xml:space="preserve">出典</w:t>
      </w:r>
      <w:r>
        <w:t xml:space="preserve">：arrêté第11条・附属書II §4.2.1.2；guide p.22, 34, 60；Rivaton p.6, 33, 36</w:t>
      </w:r>
    </w:p>
    <w:p>
      <w:pPr>
        <w:pStyle w:val="Heading3"/>
      </w:pPr>
      <w:bookmarkStart w:id="38" w:name="X4e96b2562994c371e1a7fb29a78d3d62652c3b5"/>
      <w:r>
        <w:t xml:space="preserve">②-イ 遅延排出の評価根拠</w:t>
      </w:r>
      <w:bookmarkEnd w:id="38"/>
    </w:p>
    <w:p>
      <w:pPr>
        <w:pStyle w:val="FirstParagraph"/>
      </w:pPr>
      <w:r>
        <w:rPr>
          <w:b/>
        </w:rPr>
        <w:t xml:space="preserve">(1) 公式の考え方</w:t>
      </w:r>
      <w:r>
        <w:t xml:space="preserve"> </w:t>
      </w:r>
      <w:r>
        <w:t xml:space="preserve">RE2020のダイナミックLCAは「排出の時間性と炭素貯蔵の効果を考慮し、</w:t>
      </w:r>
      <w:r>
        <w:rPr>
          <w:b/>
        </w:rPr>
        <w:t xml:space="preserve">建物竣工後100年時点の累積放射強制力</w:t>
      </w:r>
      <w:r>
        <w:t xml:space="preserve">に相当する指標を計算する」もので、「排出が早いほど影響が大きい。一時的排出はプロジェクトの炭素影響を増やし、一時的貯蔵は減らす」と説明される（ガイド p.60-61）。</w:t>
      </w:r>
    </w:p>
    <w:p>
      <w:pPr>
        <w:pStyle w:val="BodyText"/>
      </w:pPr>
      <w:r>
        <w:rPr>
          <w:b/>
        </w:rPr>
        <w:t xml:space="preserve">(2) 方法論的系譜</w:t>
      </w:r>
    </w:p>
    <w:p>
      <w:pPr>
        <w:numPr>
          <w:ilvl w:val="0"/>
          <w:numId w:val="1009"/>
        </w:numPr>
        <w:pStyle w:val="Compact"/>
      </w:pPr>
      <w:r>
        <w:t xml:space="preserve">重み係数は、</w:t>
      </w:r>
      <w:r>
        <w:rPr>
          <w:b/>
        </w:rPr>
        <w:t xml:space="preserve">CIRAIG</w:t>
      </w:r>
      <w:r>
        <w:t xml:space="preserve">（カナダ・モントリオール工科大の国際LCAセンター）のダイナミックLCA（</w:t>
      </w:r>
      <w:r>
        <w:rPr>
          <w:b/>
        </w:rPr>
        <w:t xml:space="preserve">Levasseur et al. 2010</w:t>
      </w:r>
      <w:r>
        <w:t xml:space="preserve">, Environmental Science &amp; Technology 44(8)）とそのオンラインツール（DynCO2）に基づき、Solinnen社の2018年報告を経て、専門家グループ**GE3「炭素の一時貯蔵」**最終報告で規制案化された（Note_Univ_Gustave_Eiffel p.3「導入経緯」）。</w:t>
      </w:r>
    </w:p>
    <w:p>
      <w:pPr>
        <w:numPr>
          <w:ilvl w:val="0"/>
          <w:numId w:val="1009"/>
        </w:numPr>
        <w:pStyle w:val="Compact"/>
      </w:pPr>
      <w:r>
        <w:t xml:space="preserve">観測期間を「竣工から100年」に固定した点は、CIRAIGの原典でも「恣意的に選ばれた」値である（同ノート p.1）。</w:t>
      </w:r>
    </w:p>
    <w:p>
      <w:pPr>
        <w:pStyle w:val="FirstParagraph"/>
      </w:pPr>
      <w:r>
        <w:rPr>
          <w:b/>
        </w:rPr>
        <w:t xml:space="preserve">(3) 科学的評価と論争</w:t>
      </w:r>
    </w:p>
    <w:p>
      <w:pPr>
        <w:numPr>
          <w:ilvl w:val="0"/>
          <w:numId w:val="1010"/>
        </w:numPr>
        <w:pStyle w:val="Compact"/>
      </w:pPr>
      <w:r>
        <w:t xml:space="preserve">政府（DHUP）の依頼でギュスターヴ・エッフェル大学（Ventura研究主任ら）が作成したノート（2021年3月22日）は、(i) 観測期間を竣工後100年に固定すると、後期排出の影響が「打ち切り（troncature）」で過小評価され、</w:t>
      </w:r>
      <w:r>
        <w:rPr>
          <w:b/>
        </w:rPr>
        <w:t xml:space="preserve">RE2020の係数は過大（50年目排出の係数は0.58だが、正しくは0.72、約35%の過大評価）</w:t>
      </w:r>
      <w:r>
        <w:t xml:space="preserve">、(ii) 物理的には「排出を数十年遅らせても長期の累積放射強制力はほとんど減らない」ため、</w:t>
      </w:r>
      <w:r>
        <w:rPr>
          <w:b/>
        </w:rPr>
        <w:t xml:space="preserve">ダイナミック方式の採択は第一義的に政治的選択</w:t>
      </w:r>
      <w:r>
        <w:t xml:space="preserve">（経済主体に排出遅延を促すインセンティブ）であり、国全体での効果検証と排出プロファイル収集プラットフォームの整備を勧告した（Note_Univ_Gustave_Eiffel p.1-2）。</w:t>
      </w:r>
    </w:p>
    <w:p>
      <w:pPr>
        <w:numPr>
          <w:ilvl w:val="1"/>
          <w:numId w:val="1011"/>
        </w:numPr>
        <w:pStyle w:val="Compact"/>
      </w:pPr>
      <w:r>
        <w:rPr>
          <w:b/>
        </w:rPr>
        <w:t xml:space="preserve">【v2出所明確化】</w:t>
      </w:r>
      <w:r>
        <w:t xml:space="preserve"> </w:t>
      </w:r>
      <w:r>
        <w:t xml:space="preserve">「t=50で0.58→0.72に修正すべき／約35%過大評価」という</w:t>
      </w:r>
      <w:r>
        <w:rPr>
          <w:b/>
        </w:rPr>
        <w:t xml:space="preserve">RE2020固有の数値</w:t>
      </w:r>
      <w:r>
        <w:t xml:space="preserve">は、上記UGE技術ノート（2021、DHUP宛）の本文に直接記載（"0,72 au lieu de 0,58 … surestimation d'environ 35%"）。一方、Ventura単著の査読論文（Ventura 2022, Int. J. LCA 28:788-799）のアブストラクトは「一時的炭素貯蔵の効果を</w:t>
      </w:r>
      <w:r>
        <w:rPr>
          <w:b/>
        </w:rPr>
        <w:t xml:space="preserve">t=50で約25%過大評価</w:t>
      </w:r>
      <w:r>
        <w:t xml:space="preserve">」と一般化して述べており（観測期間TOD=ライフサイクル＋影響地平への是正に基づく）、</w:t>
      </w:r>
      <w:r>
        <w:rPr>
          <w:b/>
        </w:rPr>
        <w:t xml:space="preserve">数値・対象が異なる</w:t>
      </w:r>
      <w:r>
        <w:t xml:space="preserve">。両者を同一視しないこと。35%＝UGEノート（RE2020係数の直接修正）、25%＝Ventura 2022（一般原理）。</w:t>
      </w:r>
    </w:p>
    <w:p>
      <w:pPr>
        <w:numPr>
          <w:ilvl w:val="0"/>
          <w:numId w:val="1010"/>
        </w:numPr>
        <w:pStyle w:val="Compact"/>
      </w:pPr>
      <w:r>
        <w:t xml:space="preserve">木材・バイオ系業界は2019年6月、DHUPへの連名書簡で「貯蔵期間中、一時貯蔵された炭素は気候変動に寄与しない。物理原理に基づき、追加の複雑性なく、既存LCAデータで今日から運用可能」として簡易ダイナミックLCAを支持（210222 Dynamic LCA.pdf スライド7-9）。</w:t>
      </w:r>
    </w:p>
    <w:p>
      <w:pPr>
        <w:numPr>
          <w:ilvl w:val="0"/>
          <w:numId w:val="1010"/>
        </w:numPr>
        <w:pStyle w:val="Compact"/>
      </w:pPr>
      <w:r>
        <w:t xml:space="preserve">反対側（セメント・コンクリート、鉱物・金属、断熱材、レンガ、プラスチック等の業界団体）は、(a)一時貯蔵は気候変動を緩和しないとの方法論的限界、(b)</w:t>
      </w:r>
      <w:r>
        <w:rPr>
          <w:b/>
        </w:rPr>
        <w:t xml:space="preserve">EN 15804・PEF・ISO 14067が一時貯蔵のクレジット計上を排除する国際合意</w:t>
      </w:r>
      <w:r>
        <w:t xml:space="preserve">との不整合、(c)結果が時間地平に強く依存（1kgのCO2を50年貯蔵＝竣工時0.42kg不排出と等価だが、150年地平では0.27kgに縮小）、(d)集約済みGWP値に係数を掛けるためCH4等の短寿命ガスの影響を過小評価、と批判した（同スライド4-6）。建設高等評議会（CSCEE）やEffinergie協会も「従来の標準化LCAへの回帰」「事前実証なき導入」を訴えた（同スライド10）。</w:t>
      </w:r>
    </w:p>
    <w:p>
      <w:pPr>
        <w:numPr>
          <w:ilvl w:val="0"/>
          <w:numId w:val="1010"/>
        </w:numPr>
        <w:pStyle w:val="Compact"/>
      </w:pPr>
      <w:r>
        <w:t xml:space="preserve">Rivaton報告書（2025年）は「フランスの選択はバイオ由来材料を優遇するためのもの」と総括し、独・蘭・白・丁等の静的LCA採用国との違い、EU枠組みとの整合リスクを指摘しつつも、方式変更そのものは勧告していない（p.38, 52-53）。</w:t>
      </w:r>
    </w:p>
    <w:p>
      <w:pPr>
        <w:pStyle w:val="FirstParagraph"/>
      </w:pPr>
      <w:r>
        <w:rPr>
          <w:b/>
        </w:rPr>
        <w:t xml:space="preserve">出典</w:t>
      </w:r>
      <w:r>
        <w:t xml:space="preserve">：guide p.60-61；Note_Univ_Gustave_Eiffel_Analyse_du_Cycle_de_Vie_pour_la_RE2020.pdf p.1-3；210222 RE2020 Dynamic LCA.pdf スライド4-11；Rivaton p.38, 52-53；ventura_2022.pdf</w:t>
      </w:r>
    </w:p>
    <w:p>
      <w:pPr>
        <w:pStyle w:val="Heading3"/>
      </w:pPr>
      <w:bookmarkStart w:id="39" w:name="X0f1c516d5a2b5147d2a735cee72ef7f3b8097dd"/>
      <w:r>
        <w:t xml:space="preserve">②-ウ 各種パラメータ内容（割引係数等）</w:t>
      </w:r>
      <w:bookmarkEnd w:id="39"/>
    </w:p>
    <w:p>
      <w:pPr>
        <w:pStyle w:val="FirstParagraph"/>
      </w:pPr>
      <w:r>
        <w:rPr>
          <w:b/>
        </w:rPr>
        <w:t xml:space="preserve">(1) 重み係数（アレテ第4 août 2021第11条で法定）</w:t>
      </w:r>
    </w:p>
    <w:tbl>
      <w:tblPr>
        <w:tblStyle w:val="Table"/>
        <w:tblW w:type="pct" w:w="0.0"/>
        <w:tblLook w:firstRow="1"/>
      </w:tblPr>
      <w:tblGrid/>
      <w:tr>
        <w:trPr>
          <w:cnfStyle w:firstRow="1"/>
        </w:trPr>
        <w:tc>
          <w:tcPr>
            <w:tcBorders>
              <w:bottom w:val="single"/>
            </w:tcBorders>
            <w:vAlign w:val="bottom"/>
          </w:tcPr>
          <w:p>
            <w:pPr>
              <w:pStyle w:val="Compact"/>
              <w:jc w:val="left"/>
            </w:pPr>
            <w:r>
              <w:t xml:space="preserve">パラメータ</w:t>
            </w:r>
          </w:p>
        </w:tc>
        <w:tc>
          <w:tcPr>
            <w:tcBorders>
              <w:bottom w:val="single"/>
            </w:tcBorders>
            <w:vAlign w:val="bottom"/>
          </w:tcPr>
          <w:p>
            <w:pPr>
              <w:pStyle w:val="Compact"/>
              <w:jc w:val="left"/>
            </w:pPr>
            <w:r>
              <w:t xml:space="preserve">値・内容</w:t>
            </w:r>
          </w:p>
        </w:tc>
      </w:tr>
      <w:tr>
        <w:tc>
          <w:p>
            <w:pPr>
              <w:pStyle w:val="Compact"/>
              <w:jc w:val="left"/>
            </w:pPr>
            <w:r>
              <w:t xml:space="preserve">重み関数 f_CO2(t)</w:t>
            </w:r>
          </w:p>
        </w:tc>
        <w:tc>
          <w:p>
            <w:pPr>
              <w:pStyle w:val="Compact"/>
              <w:jc w:val="left"/>
            </w:pPr>
            <w:r>
              <w:t xml:space="preserve">CO2及び冷媒以外の全GHG用。年単位（t=0～50の整数）。</w:t>
            </w:r>
            <w:r>
              <w:rPr>
                <w:b/>
              </w:rPr>
              <w:t xml:space="preserve">f(0)=1.0、f(1)≈0.984、…、f(49)≈0.587、f(50)=0.578</w:t>
            </w:r>
          </w:p>
        </w:tc>
      </w:tr>
      <w:tr>
        <w:tc>
          <w:p>
            <w:pPr>
              <w:pStyle w:val="Compact"/>
              <w:jc w:val="left"/>
            </w:pPr>
            <w:r>
              <w:t xml:space="preserve">重み関数 f_ff(t)</w:t>
            </w:r>
          </w:p>
        </w:tc>
        <w:tc>
          <w:p>
            <w:pPr>
              <w:pStyle w:val="Compact"/>
              <w:jc w:val="left"/>
            </w:pPr>
            <w:r>
              <w:t xml:space="preserve">冷媒フロン（フルオロカーボン）用。</w:t>
            </w:r>
            <w:r>
              <w:rPr>
                <w:b/>
              </w:rPr>
              <w:t xml:space="preserve">f_ff(50)=0.88</w:t>
            </w:r>
            <w:r>
              <w:t xml:space="preserve">（CO2より減衰が緩い＝大気寿命が短いガスの後期排出を相対的に重く評価）</w:t>
            </w:r>
          </w:p>
        </w:tc>
      </w:tr>
      <w:tr>
        <w:tc>
          <w:p>
            <w:pPr>
              <w:pStyle w:val="Compact"/>
              <w:jc w:val="left"/>
            </w:pPr>
            <w:r>
              <w:t xml:space="preserve">適用範囲</w:t>
            </w:r>
          </w:p>
        </w:tc>
        <w:tc>
          <w:p>
            <w:pPr>
              <w:pStyle w:val="Compact"/>
              <w:jc w:val="left"/>
            </w:pPr>
            <w:r>
              <w:t xml:space="preserve">気候変動指標（Ic énergie・Ic construction・Ic ded・Ic bâtiment）の計算のみ。他の35指標は静的計算</w:t>
            </w:r>
          </w:p>
        </w:tc>
      </w:tr>
    </w:tbl>
    <w:p>
      <w:pPr>
        <w:pStyle w:val="BodyText"/>
      </w:pPr>
      <w:r>
        <w:rPr>
          <w:b/>
        </w:rPr>
        <w:t xml:space="preserve">(2) 排出時期の計上規約（アレテ附属書II §4.2.1.2）</w:t>
      </w:r>
    </w:p>
    <w:tbl>
      <w:tblPr>
        <w:tblStyle w:val="Table"/>
        <w:tblW w:type="pct" w:w="0.0"/>
        <w:tblLook w:firstRow="1"/>
      </w:tblPr>
      <w:tblGrid/>
      <w:tr>
        <w:trPr>
          <w:cnfStyle w:firstRow="1"/>
        </w:trPr>
        <w:tc>
          <w:tcPr>
            <w:tcBorders>
              <w:bottom w:val="single"/>
            </w:tcBorders>
            <w:vAlign w:val="bottom"/>
          </w:tcPr>
          <w:p>
            <w:pPr>
              <w:pStyle w:val="Compact"/>
              <w:jc w:val="left"/>
            </w:pPr>
            <w:r>
              <w:t xml:space="preserve">ライフサイクル段階</w:t>
            </w:r>
          </w:p>
        </w:tc>
        <w:tc>
          <w:tcPr>
            <w:tcBorders>
              <w:bottom w:val="single"/>
            </w:tcBorders>
            <w:vAlign w:val="bottom"/>
          </w:tcPr>
          <w:p>
            <w:pPr>
              <w:pStyle w:val="Compact"/>
              <w:jc w:val="left"/>
            </w:pPr>
            <w:r>
              <w:t xml:space="preserve">排出時期の規約</w:t>
            </w:r>
          </w:p>
        </w:tc>
        <w:tc>
          <w:tcPr>
            <w:tcBorders>
              <w:bottom w:val="single"/>
            </w:tcBorders>
            <w:vAlign w:val="bottom"/>
          </w:tcPr>
          <w:p>
            <w:pPr>
              <w:pStyle w:val="Compact"/>
              <w:jc w:val="left"/>
            </w:pPr>
            <w:r>
              <w:t xml:space="preserve">適用係数</w:t>
            </w:r>
          </w:p>
        </w:tc>
      </w:tr>
      <w:tr>
        <w:tc>
          <w:p>
            <w:pPr>
              <w:pStyle w:val="Compact"/>
              <w:jc w:val="left"/>
            </w:pPr>
            <w:r>
              <w:t xml:space="preserve">生産（A1–A3）・施工（A4–A5）</w:t>
            </w:r>
          </w:p>
        </w:tc>
        <w:tc>
          <w:p>
            <w:pPr>
              <w:pStyle w:val="Compact"/>
              <w:jc w:val="left"/>
            </w:pPr>
            <w:r>
              <w:t xml:space="preserve">t=0に一括計上</w:t>
            </w:r>
          </w:p>
        </w:tc>
        <w:tc>
          <w:p>
            <w:pPr>
              <w:pStyle w:val="Compact"/>
              <w:jc w:val="left"/>
            </w:pPr>
            <w:r>
              <w:t xml:space="preserve">1.0（静的と同値）</w:t>
            </w:r>
          </w:p>
        </w:tc>
      </w:tr>
      <w:tr>
        <w:tc>
          <w:p>
            <w:pPr>
              <w:pStyle w:val="Compact"/>
              <w:jc w:val="left"/>
            </w:pPr>
            <w:r>
              <w:t xml:space="preserve">使用（B1–B4：維持・交換等）</w:t>
            </w:r>
          </w:p>
        </w:tc>
        <w:tc>
          <w:p>
            <w:pPr>
              <w:pStyle w:val="Compact"/>
              <w:jc w:val="left"/>
            </w:pPr>
            <w:r>
              <w:t xml:space="preserve">耐用年数DVEで年割りし毎年計上（交換品の製造・廃棄は交換年に計上：式40-42）</w:t>
            </w:r>
          </w:p>
        </w:tc>
        <w:tc>
          <w:p>
            <w:pPr>
              <w:pStyle w:val="Compact"/>
              <w:jc w:val="left"/>
            </w:pPr>
            <w:r>
              <w:t xml:space="preserve">f_CO2(a)</w:t>
            </w:r>
          </w:p>
        </w:tc>
      </w:tr>
      <w:tr>
        <w:tc>
          <w:p>
            <w:pPr>
              <w:pStyle w:val="Compact"/>
              <w:jc w:val="left"/>
            </w:pPr>
            <w:r>
              <w:t xml:space="preserve">運用エネルギー・水（B6–B7）</w:t>
            </w:r>
          </w:p>
        </w:tc>
        <w:tc>
          <w:p>
            <w:pPr>
              <w:pStyle w:val="Compact"/>
              <w:jc w:val="left"/>
            </w:pPr>
            <w:r>
              <w:t xml:space="preserve">毎年計上</w:t>
            </w:r>
          </w:p>
        </w:tc>
        <w:tc>
          <w:p>
            <w:pPr>
              <w:pStyle w:val="Compact"/>
              <w:jc w:val="left"/>
            </w:pPr>
            <w:r>
              <w:t xml:space="preserve">f_CO2(a)</w:t>
            </w:r>
          </w:p>
        </w:tc>
      </w:tr>
      <w:tr>
        <w:tc>
          <w:p>
            <w:pPr>
              <w:pStyle w:val="Compact"/>
              <w:jc w:val="left"/>
            </w:pPr>
            <w:r>
              <w:t xml:space="preserve">解体・廃棄（C1–C4）</w:t>
            </w:r>
          </w:p>
        </w:tc>
        <w:tc>
          <w:p>
            <w:pPr>
              <w:pStyle w:val="Compact"/>
              <w:jc w:val="left"/>
            </w:pPr>
            <w:r>
              <w:rPr>
                <w:b/>
              </w:rPr>
              <w:t xml:space="preserve">t=PER（50年）に一括計上</w:t>
            </w:r>
            <w:r>
              <w:t xml:space="preserve">（式36, 43）</w:t>
            </w:r>
          </w:p>
        </w:tc>
        <w:tc>
          <w:p>
            <w:pPr>
              <w:pStyle w:val="Compact"/>
              <w:jc w:val="left"/>
            </w:pPr>
            <w:r>
              <w:t xml:space="preserve">f_CO2(50)=0.578</w:t>
            </w:r>
          </w:p>
        </w:tc>
      </w:tr>
      <w:tr>
        <w:tc>
          <w:p>
            <w:pPr>
              <w:pStyle w:val="Compact"/>
              <w:jc w:val="left"/>
            </w:pPr>
            <w:r>
              <w:t xml:space="preserve">モジュールD</w:t>
            </w:r>
          </w:p>
        </w:tc>
        <w:tc>
          <w:p>
            <w:pPr>
              <w:pStyle w:val="Compact"/>
              <w:jc w:val="left"/>
            </w:pPr>
            <w:r>
              <w:t xml:space="preserve">t=PER（交換がある場合は各交換年にも）計上（式37, 44）</w:t>
            </w:r>
          </w:p>
        </w:tc>
        <w:tc>
          <w:p>
            <w:pPr>
              <w:pStyle w:val="Compact"/>
              <w:jc w:val="left"/>
            </w:pPr>
            <w:r>
              <w:t xml:space="preserve">f_CO2(50)=0.578</w:t>
            </w:r>
          </w:p>
        </w:tc>
      </w:tr>
    </w:tbl>
    <w:p>
      <w:pPr>
        <w:pStyle w:val="BodyText"/>
      </w:pPr>
      <w:r>
        <w:rPr>
          <w:b/>
        </w:rPr>
        <w:t xml:space="preserve">(3) その他の規約パラメータ</w:t>
      </w:r>
    </w:p>
    <w:p>
      <w:pPr>
        <w:numPr>
          <w:ilvl w:val="0"/>
          <w:numId w:val="1012"/>
        </w:numPr>
        <w:pStyle w:val="Compact"/>
      </w:pPr>
      <w:r>
        <w:rPr>
          <w:b/>
        </w:rPr>
        <w:t xml:space="preserve">簡易化の核心</w:t>
      </w:r>
      <w:r>
        <w:t xml:space="preserve">：係数はガス別の排出インベントリではなく、FDES/PEPに記載された</w:t>
      </w:r>
      <w:r>
        <w:rPr>
          <w:b/>
        </w:rPr>
        <w:t xml:space="preserve">集約済みGWP値（kg CO2eq）に直接乗算</w:t>
      </w:r>
      <w:r>
        <w:t xml:space="preserve">する（「簡易」ダイナミックの所以。ガス別の厳密ダイナミックLCAではない）（附属書II §4.2.1.2冒頭）。</w:t>
      </w:r>
    </w:p>
    <w:p>
      <w:pPr>
        <w:numPr>
          <w:ilvl w:val="0"/>
          <w:numId w:val="1012"/>
        </w:numPr>
        <w:pStyle w:val="Compact"/>
      </w:pPr>
      <w:r>
        <w:t xml:space="preserve">冷媒の漏洩率（規約値・変更不可）：製造時2%、使用時年2%、廃棄時10%（附属書II §4.2.1.2.2）。</w:t>
      </w:r>
    </w:p>
    <w:p>
      <w:pPr>
        <w:numPr>
          <w:ilvl w:val="0"/>
          <w:numId w:val="1012"/>
        </w:numPr>
        <w:pStyle w:val="Compact"/>
      </w:pPr>
      <w:r>
        <w:t xml:space="preserve">係数の物理的基礎：IPCC AR4のCO2インパルス応答関数（残存率 r(t)=a0+Σai·e^(−t/τi)、a0=0.217, a1=0.259, a2=0.338, a3=0.186、τ1=172.9年, τ2=18.51年, τ3=1.186年）に基づく累積放射強制力計算（Note_Univ_Gustave_Eiffel p.4-5）。</w:t>
      </w:r>
      <w:r>
        <w:rPr>
          <w:b/>
        </w:rPr>
        <w:t xml:space="preserve">【v2検証済】</w:t>
      </w:r>
      <w:r>
        <w:t xml:space="preserve"> </w:t>
      </w:r>
      <w:r>
        <w:t xml:space="preserve">これら6つの値はIPCC AR4 WG1 Table 2.14（脚注a、Bern2.5CCモデル）の原典と一字一句一致することを確認。RE2020の理論的系譜（Levasseur et al. 2010・Benoist 2009）はいずれもAR5以前であり、</w:t>
      </w:r>
      <w:r>
        <w:rPr>
          <w:b/>
        </w:rPr>
        <w:t xml:space="preserve">AR4世代を基礎とするのは歴史的に妥当</w:t>
      </w:r>
      <w:r>
        <w:t xml:space="preserve">。AR6/Joos2013の更新値（永続項係数 a0=0.2173≒AR4、最長時定数 τ=394.4年）はAR5補足資料Table 8.SM.10で確認できるが、RE2020の現行係数には未反映（2028年フェーズ3の論点）。</w:t>
      </w:r>
    </w:p>
    <w:p>
      <w:pPr>
        <w:numPr>
          <w:ilvl w:val="0"/>
          <w:numId w:val="1012"/>
        </w:numPr>
        <w:pStyle w:val="Compact"/>
      </w:pPr>
      <w:r>
        <w:t xml:space="preserve">部材耐用年数DVE（既定値=参照耐用年数DVR）、交換回数α、端数係数F_Util等が交換計上を制御（附属書II 式38-39）。再生可能エネルギー自家消費分は控除、木質燃料の非再生一次エネルギー係数は0（ガイド p.45-46）。</w:t>
      </w:r>
    </w:p>
    <w:p>
      <w:pPr>
        <w:pStyle w:val="FirstParagraph"/>
      </w:pPr>
      <w:r>
        <w:rPr>
          <w:b/>
        </w:rPr>
        <w:t xml:space="preserve">出典</w:t>
      </w:r>
      <w:r>
        <w:t xml:space="preserve">：arrêté du 4 août 2021 第11条・附属書II §4.2.1.2（式35-44）；guide p.60-61（Illustration 14、木梁の計算例）；Note_Univ_Gustave_Eiffel p.3-5；Rivaton p.38</w:t>
      </w:r>
    </w:p>
    <w:p>
      <w:r>
        <w:pict>
          <v:rect style="width:0;height:1.5pt" o:hralign="center" o:hrstd="t" o:hr="t"/>
        </w:pict>
      </w:r>
    </w:p>
    <w:p>
      <w:pPr>
        <w:pStyle w:val="Heading2"/>
      </w:pPr>
      <w:bookmarkStart w:id="40" w:name="Xdb1c4db71b4cb80459298f0aa16504f10b30022"/>
      <w:r>
        <w:t xml:space="preserve">③ 生物由来炭素及び炭素貯蔵評価の制度的位置付け</w:t>
      </w:r>
      <w:bookmarkEnd w:id="40"/>
    </w:p>
    <w:p>
      <w:pPr>
        <w:pStyle w:val="Heading3"/>
      </w:pPr>
      <w:bookmarkStart w:id="41" w:name="X7812ea4ebd79f210bab3a64ea8970b4c8cae6cc"/>
      <w:r>
        <w:t xml:space="preserve">③-ア 貯蔵量算定方法</w:t>
      </w:r>
      <w:bookmarkEnd w:id="41"/>
    </w:p>
    <w:p>
      <w:pPr>
        <w:pStyle w:val="FirstParagraph"/>
      </w:pPr>
      <w:r>
        <w:rPr>
          <w:b/>
        </w:rPr>
        <w:t xml:space="preserve">(1) StockC指標（情報指標）</w:t>
      </w:r>
      <w:r>
        <w:t xml:space="preserve"> </w:t>
      </w:r>
      <w:r>
        <w:t xml:space="preserve">建築物に貯蔵される生物由来（バイオジェニック）炭素量を表す指標</w:t>
      </w:r>
      <w:r>
        <w:rPr>
          <w:b/>
        </w:rPr>
        <w:t xml:space="preserve">StockC</w:t>
      </w:r>
      <w:r>
        <w:t xml:space="preserve">（単位：</w:t>
      </w:r>
      <w:r>
        <w:rPr>
          <w:b/>
        </w:rPr>
        <w:t xml:space="preserve">kg C/m²</w:t>
      </w:r>
      <w:r>
        <w:t xml:space="preserve">）が、規制閾値なしの情報指標として全棟で算定・報告される（ガイド p.15；アレテ附属書II §5.3.2）。算定規約は：</w:t>
      </w:r>
    </w:p>
    <w:p>
      <w:pPr>
        <w:numPr>
          <w:ilvl w:val="0"/>
          <w:numId w:val="1013"/>
        </w:numPr>
        <w:pStyle w:val="Compact"/>
      </w:pPr>
      <w:r>
        <w:rPr>
          <w:b/>
        </w:rPr>
        <w:t xml:space="preserve">ケース1</w:t>
      </w:r>
      <w:r>
        <w:t xml:space="preserve">：FDES等の環境データにStockC値が記載されていればその値を使用。</w:t>
      </w:r>
    </w:p>
    <w:p>
      <w:pPr>
        <w:numPr>
          <w:ilvl w:val="0"/>
          <w:numId w:val="1013"/>
        </w:numPr>
        <w:pStyle w:val="Compact"/>
      </w:pPr>
      <w:r>
        <w:rPr>
          <w:b/>
        </w:rPr>
        <w:t xml:space="preserve">ケース2</w:t>
      </w:r>
      <w:r>
        <w:t xml:space="preserve">：記載がない場合、生産段階（A1–A3、分離可能ならA1）のGWP値が負であれば</w:t>
      </w:r>
      <w:r>
        <w:t xml:space="preserve"> </w:t>
      </w:r>
      <w:r>
        <w:rPr>
          <w:b/>
        </w:rPr>
        <w:t xml:space="preserve">StockC_p = −GWP(production) × 12/44</w:t>
      </w:r>
      <w:r>
        <w:t xml:space="preserve">（CO2→C換算）、負でなければ0（式137-138）。</w:t>
      </w:r>
    </w:p>
    <w:p>
      <w:pPr>
        <w:numPr>
          <w:ilvl w:val="0"/>
          <w:numId w:val="1013"/>
        </w:numPr>
        <w:pStyle w:val="Compact"/>
      </w:pPr>
      <w:r>
        <w:t xml:space="preserve">集計はサブロット→ロット（13区分）→建物（式139-141）。**部材交換は計上しない（Rp=1）**＝初期投入分のみ。敷地（parcelle）分も別途算定可（式142）。</w:t>
      </w:r>
    </w:p>
    <w:p>
      <w:pPr>
        <w:pStyle w:val="FirstParagraph"/>
      </w:pPr>
      <w:r>
        <w:rPr>
          <w:b/>
        </w:rPr>
        <w:t xml:space="preserve">(2) 規制効果としての貯蔵評価</w:t>
      </w:r>
      <w:r>
        <w:t xml:space="preserve"> </w:t>
      </w:r>
      <w:r>
        <w:t xml:space="preserve">炭素貯蔵の規制上の実効性は、StockCではなく</w:t>
      </w:r>
      <w:r>
        <w:rPr>
          <w:b/>
        </w:rPr>
        <w:t xml:space="preserve">ダイナミックLCAの重み付けを通じて</w:t>
      </w:r>
      <w:r>
        <w:t xml:space="preserve">生じる。FDESではEN 15804の「−1/+1」原則により、バイオ炭素は生産段階で吸収（負値）・廃棄段階で再放出（正値）として計上されるが、RE2020では吸収がt=0（係数1.0）、再放出がt=50（係数0.578）となるため、</w:t>
      </w:r>
      <w:r>
        <w:rPr>
          <w:b/>
        </w:rPr>
        <w:t xml:space="preserve">貯蔵1kgのCO2あたり正味約0.42kg CO2eq分のクレジット</w:t>
      </w:r>
      <w:r>
        <w:t xml:space="preserve">が発生する（210222 Dynamic LCA.pdf スライド5；ガイド p.61の木梁例：静的+130 kg CO2eq→動的−165.4 kg CO2eq）。</w:t>
      </w:r>
    </w:p>
    <w:p>
      <w:pPr>
        <w:numPr>
          <w:ilvl w:val="0"/>
          <w:numId w:val="1014"/>
        </w:numPr>
        <w:pStyle w:val="Compact"/>
      </w:pPr>
      <w:r>
        <w:t xml:space="preserve">留意点：フランスの木材FDESは「伐採地での再植林による再吸収」のクレジットも含むが、この将来吸収（10～30年を要する）には時間重み付けが適用されないという非対称性が指摘されている（210222 Dynamic LCA.pdf スライド6）。</w:t>
      </w:r>
    </w:p>
    <w:p>
      <w:pPr>
        <w:pStyle w:val="FirstParagraph"/>
      </w:pPr>
      <w:r>
        <w:rPr>
          <w:b/>
        </w:rPr>
        <w:t xml:space="preserve">出典</w:t>
      </w:r>
      <w:r>
        <w:t xml:space="preserve">：arrêté附属書II §5.3.2（式137-142）；guide p.15, 61；210222 Dynamic LCA.pdf スライド5-6</w:t>
      </w:r>
    </w:p>
    <w:p>
      <w:pPr>
        <w:pStyle w:val="Heading3"/>
      </w:pPr>
      <w:bookmarkStart w:id="42" w:name="Xcf34b3ff7f162c396789dba3b33536a5038b160"/>
      <w:r>
        <w:t xml:space="preserve">③-イ 評価期間（50年）の設定根拠</w:t>
      </w:r>
      <w:bookmarkEnd w:id="42"/>
    </w:p>
    <w:p>
      <w:pPr>
        <w:numPr>
          <w:ilvl w:val="0"/>
          <w:numId w:val="1015"/>
        </w:numPr>
        <w:pStyle w:val="Compact"/>
      </w:pPr>
      <w:r>
        <w:t xml:space="preserve">計算上の建物寿命は</w:t>
      </w:r>
      <w:r>
        <w:rPr>
          <w:b/>
        </w:rPr>
        <w:t xml:space="preserve">参照研究期間（PER）＝全建物一律50年</w:t>
      </w:r>
      <w:r>
        <w:t xml:space="preserve">（仮設建築のみ2年）と規約で固定（ガイド p.8, p.37；アレテ附属書II）。これはE+C-実験の「エネルギー・カーボン参照枠」以来の慣行的・規約的な建物想定耐用年数であり、FDESの基準シナリオとも整合する。</w:t>
      </w:r>
    </w:p>
    <w:p>
      <w:pPr>
        <w:numPr>
          <w:ilvl w:val="0"/>
          <w:numId w:val="1015"/>
        </w:numPr>
        <w:pStyle w:val="Compact"/>
      </w:pPr>
      <w:r>
        <w:t xml:space="preserve">ダイナミックLCAの観測期間は「竣工から100年」（＝重み係数の積分地平）で、PER50年とは別概念。</w:t>
      </w:r>
      <w:r>
        <w:rPr>
          <w:b/>
        </w:rPr>
        <w:t xml:space="preserve">100年という観測期間は原典（CIRAIG）で恣意的に選ばれた</w:t>
      </w:r>
      <w:r>
        <w:t xml:space="preserve">ものであり、ギュスターヴ・エッフェル大学ノートは「観測期間は『最終排出＋影響時間地平100年』（つまり竣工から最大150年）とすべき」と修正を勧告した（採用されず）（Note p.1-2）。</w:t>
      </w:r>
    </w:p>
    <w:p>
      <w:pPr>
        <w:numPr>
          <w:ilvl w:val="0"/>
          <w:numId w:val="1015"/>
        </w:numPr>
        <w:pStyle w:val="Compact"/>
      </w:pPr>
      <w:r>
        <w:t xml:space="preserve">すなわち50年・100年とも</w:t>
      </w:r>
      <w:r>
        <w:rPr>
          <w:b/>
        </w:rPr>
        <w:t xml:space="preserve">科学的に一意に導かれる値ではなく規約（convention）</w:t>
      </w:r>
      <w:r>
        <w:rPr>
          <w:b/>
          <w:b/>
        </w:rPr>
        <w:t xml:space="preserve">であり、係数の水準（0.578等）はこの規約選択に直接依存する。この点はEU側でも参照期間（30/50/60年）の選択論点として残っている（Rivaton p.52-53）。</w:t>
      </w:r>
      <w:r>
        <w:rPr>
          <w:b/>
        </w:rPr>
        <w:t xml:space="preserve">（評価）50年設定の積極的根拠を示す一次資料は限定的であり、「E+C-以来の慣行の継承」という以上の説明は確認できなかった（推測を含む）。</w:t>
      </w:r>
    </w:p>
    <w:p>
      <w:pPr>
        <w:pStyle w:val="FirstParagraph"/>
      </w:pPr>
      <w:r>
        <w:rPr>
          <w:b/>
        </w:rPr>
        <w:t xml:space="preserve">出典</w:t>
      </w:r>
      <w:r>
        <w:t xml:space="preserve">：guide p.8, 37；arrêté附属書II 第1章；Note_Univ_Gustave_Eiffel p.1-2；Rivaton p.52-53</w:t>
      </w:r>
    </w:p>
    <w:p>
      <w:pPr>
        <w:pStyle w:val="Heading3"/>
      </w:pPr>
      <w:bookmarkStart w:id="43" w:name="X723310bba026b232fa3865d4f3a17b371a95b33"/>
      <w:r>
        <w:t xml:space="preserve">③-ウ 解体及び再利用での排出扱い（モジュールC・D）</w:t>
      </w:r>
      <w:bookmarkEnd w:id="43"/>
    </w:p>
    <w:p>
      <w:pPr>
        <w:numPr>
          <w:ilvl w:val="0"/>
          <w:numId w:val="1016"/>
        </w:numPr>
        <w:pStyle w:val="Compact"/>
      </w:pPr>
      <w:r>
        <w:rPr>
          <w:b/>
        </w:rPr>
        <w:t xml:space="preserve">モジュールC（C1解体工事、C2運搬、C3再資源化処理、C4最終処分）</w:t>
      </w:r>
      <w:r>
        <w:t xml:space="preserve">：すべて</w:t>
      </w:r>
      <w:r>
        <w:rPr>
          <w:b/>
        </w:rPr>
        <w:t xml:space="preserve">t=PER（50年）に計上</w:t>
      </w:r>
      <w:r>
        <w:t xml:space="preserve">され、係数0.578で割り引かれる（アレテ附属書II Tableau 4、式36・43）。バイオ材料の貯蔵炭素の再放出（焼却・埋立に伴う）はここで正値計上されるため、</w:t>
      </w:r>
      <w:r>
        <w:rPr>
          <w:b/>
        </w:rPr>
        <w:t xml:space="preserve">割引後の正味便益が貯蔵クレジットの源泉</w:t>
      </w:r>
      <w:r>
        <w:t xml:space="preserve">となる（③-ア参照）。</w:t>
      </w:r>
    </w:p>
    <w:p>
      <w:pPr>
        <w:numPr>
          <w:ilvl w:val="0"/>
          <w:numId w:val="1016"/>
        </w:numPr>
        <w:pStyle w:val="Compact"/>
      </w:pPr>
      <w:r>
        <w:rPr>
          <w:b/>
        </w:rPr>
        <w:t xml:space="preserve">モジュールD（再資源化・エネルギー回収便益、エネルギー輸出）</w:t>
      </w:r>
      <w:r>
        <w:t xml:space="preserve">：EN 15978/EN 15804+A2では主要結果から分離報告とされるが、</w:t>
      </w:r>
      <w:r>
        <w:rPr>
          <w:b/>
        </w:rPr>
        <w:t xml:space="preserve">RE2020ではIc constructionの合計に算入</w:t>
      </w:r>
      <w:r>
        <w:t xml:space="preserve">される（式30・34）。計上時期はt=PER（途中交換分は交換年）で係数を乗じる（式37・44）。</w:t>
      </w:r>
    </w:p>
    <w:p>
      <w:pPr>
        <w:numPr>
          <w:ilvl w:val="0"/>
          <w:numId w:val="1016"/>
        </w:numPr>
        <w:pStyle w:val="Compact"/>
      </w:pPr>
      <w:r>
        <w:rPr>
          <w:b/>
        </w:rPr>
        <w:t xml:space="preserve">再使用材</w:t>
      </w:r>
      <w:r>
        <w:t xml:space="preserve">：再使用・再利用品はLCA負荷ゼロ扱い（付帯材のみ計上）（ガイド p.45）。</w:t>
      </w:r>
    </w:p>
    <w:p>
      <w:pPr>
        <w:numPr>
          <w:ilvl w:val="0"/>
          <w:numId w:val="1016"/>
        </w:numPr>
        <w:pStyle w:val="Compact"/>
      </w:pPr>
      <w:r>
        <w:rPr>
          <w:b/>
        </w:rPr>
        <w:t xml:space="preserve">デフォルトデータ（DED）の保守性</w:t>
      </w:r>
      <w:r>
        <w:t xml:space="preserve">：DEDの廃棄段階は「リサイクルなし・焼却のみ」を仮定しており、平均30～100%割増の保守的な値（Rivaton p.36）。木質系では、A2移行に伴い構造用木材を除き廃棄段階のバイオ炭素計上が見直され、業界が影響を指摘している（Rivaton p.35）。</w:t>
      </w:r>
    </w:p>
    <w:p>
      <w:pPr>
        <w:numPr>
          <w:ilvl w:val="0"/>
          <w:numId w:val="1016"/>
        </w:numPr>
        <w:pStyle w:val="Compact"/>
      </w:pPr>
      <w:r>
        <w:rPr>
          <w:b/>
        </w:rPr>
        <w:t xml:space="preserve">評価範囲上の注意</w:t>
      </w:r>
      <w:r>
        <w:t xml:space="preserve">：新築工事前の既存建物の解体（事前解体）は評価範囲外（ガイド p.6）。</w:t>
      </w:r>
    </w:p>
    <w:p>
      <w:pPr>
        <w:pStyle w:val="FirstParagraph"/>
      </w:pPr>
      <w:r>
        <w:rPr>
          <w:b/>
        </w:rPr>
        <w:t xml:space="preserve">出典</w:t>
      </w:r>
      <w:r>
        <w:t xml:space="preserve">：arrêté附属書II Tableau 4・式30, 34, 36-37, 43-44；guide p.6, 45；Rivaton p.33-36</w:t>
      </w:r>
    </w:p>
    <w:p>
      <w:r>
        <w:pict>
          <v:rect style="width:0;height:1.5pt" o:hralign="center" o:hrstd="t" o:hr="t"/>
        </w:pict>
      </w:r>
    </w:p>
    <w:p>
      <w:pPr>
        <w:pStyle w:val="Heading2"/>
      </w:pPr>
      <w:bookmarkStart w:id="44" w:name="X779a132be03fc4793fe932d23c488e532611e58"/>
      <w:r>
        <w:t xml:space="preserve">④ 制度導入の背景および検討プロセスの整理</w:t>
      </w:r>
      <w:bookmarkEnd w:id="44"/>
    </w:p>
    <w:p>
      <w:pPr>
        <w:pStyle w:val="Heading3"/>
      </w:pPr>
      <w:bookmarkStart w:id="45" w:name="X41158652742f618864f30cefbf3b30ab0b2ed07"/>
      <w:r>
        <w:t xml:space="preserve">④-ア 初期検討（E+C-実験等）から導入に至った経緯</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時期</w:t>
            </w:r>
          </w:p>
        </w:tc>
        <w:tc>
          <w:tcPr>
            <w:tcBorders>
              <w:bottom w:val="single"/>
            </w:tcBorders>
            <w:vAlign w:val="bottom"/>
          </w:tcPr>
          <w:p>
            <w:pPr>
              <w:pStyle w:val="Compact"/>
              <w:jc w:val="left"/>
            </w:pPr>
            <w:r>
              <w:t xml:space="preserve">出来事</w:t>
            </w:r>
          </w:p>
        </w:tc>
      </w:tr>
      <w:tr>
        <w:tc>
          <w:p>
            <w:pPr>
              <w:pStyle w:val="Compact"/>
              <w:jc w:val="left"/>
            </w:pPr>
            <w:r>
              <w:t xml:space="preserve">2015年</w:t>
            </w:r>
          </w:p>
        </w:tc>
        <w:tc>
          <w:p>
            <w:pPr>
              <w:pStyle w:val="Compact"/>
              <w:jc w:val="left"/>
            </w:pPr>
            <w:r>
              <w:t xml:space="preserve">エネルギー移行法（LTECV）成立。建築の環境性能向上を法定目標化（ガイド p.27）</w:t>
            </w:r>
          </w:p>
        </w:tc>
      </w:tr>
      <w:tr>
        <w:tc>
          <w:p>
            <w:pPr>
              <w:pStyle w:val="Compact"/>
              <w:jc w:val="left"/>
            </w:pPr>
            <w:r>
              <w:rPr>
                <w:b/>
              </w:rPr>
              <w:t xml:space="preserve">2016年11月</w:t>
            </w:r>
          </w:p>
        </w:tc>
        <w:tc>
          <w:p>
            <w:pPr>
              <w:pStyle w:val="Compact"/>
              <w:jc w:val="left"/>
            </w:pPr>
            <w:r>
              <w:rPr>
                <w:b/>
              </w:rPr>
              <w:t xml:space="preserve">E+C-実験</w:t>
            </w:r>
            <w:r>
              <w:t xml:space="preserve">（「エネルギープラス・炭素マイナス」）開始。CSCEE共同主宰。「エネルギー・カーボン参照枠」（Bilan BEPOS、EgesPCE/Eges指標）で全LC排出の試行評価。観測データベース＋E+C-ラベル（第三者認証）で運用（ガイド p.29-30）</w:t>
            </w:r>
          </w:p>
        </w:tc>
      </w:tr>
      <w:tr>
        <w:tc>
          <w:p>
            <w:pPr>
              <w:pStyle w:val="Compact"/>
              <w:jc w:val="left"/>
            </w:pPr>
            <w:r>
              <w:t xml:space="preserve">2018年</w:t>
            </w:r>
          </w:p>
        </w:tc>
        <w:tc>
          <w:p>
            <w:pPr>
              <w:pStyle w:val="Compact"/>
              <w:jc w:val="left"/>
            </w:pPr>
            <w:r>
              <w:t xml:space="preserve">ELAN法第181条が将来の環境規制を法定。**2018年秋から16の専門家グループ（GE1～GE16）**で技術検討開始。</w:t>
            </w:r>
            <w:r>
              <w:rPr>
                <w:b/>
              </w:rPr>
              <w:t xml:space="preserve">GE3「炭素の一時貯蔵」</w:t>
            </w:r>
            <w:r>
              <w:t xml:space="preserve">・GE4「建物の廃棄段階」を含む（ガイド p.28, 31）</w:t>
            </w:r>
          </w:p>
        </w:tc>
      </w:tr>
      <w:tr>
        <w:tc>
          <w:p>
            <w:pPr>
              <w:pStyle w:val="Compact"/>
              <w:jc w:val="left"/>
            </w:pPr>
            <w:r>
              <w:t xml:space="preserve">2019年1月～</w:t>
            </w:r>
          </w:p>
        </w:tc>
        <w:tc>
          <w:p>
            <w:pPr>
              <w:pStyle w:val="Compact"/>
              <w:jc w:val="left"/>
            </w:pPr>
            <w:r>
              <w:t xml:space="preserve">国・CSCEE共同主宰の</w:t>
            </w:r>
            <w:r>
              <w:rPr>
                <w:b/>
              </w:rPr>
              <w:t xml:space="preserve">4協議グループ</w:t>
            </w:r>
            <w:r>
              <w:t xml:space="preserve">（計算方法、データ整備、指標・要求水準、実務支援）で大規模協議。木材業界がDHUPへダイナミックLCA支持書簡（2019年6月）（ガイド p.31-33；210222 deck スライド7）</w:t>
            </w:r>
          </w:p>
        </w:tc>
      </w:tr>
      <w:tr>
        <w:tc>
          <w:p>
            <w:pPr>
              <w:pStyle w:val="Compact"/>
              <w:jc w:val="left"/>
            </w:pPr>
            <w:r>
              <w:t xml:space="preserve">2020年</w:t>
            </w:r>
          </w:p>
        </w:tc>
        <w:tc>
          <w:p>
            <w:pPr>
              <w:pStyle w:val="Compact"/>
              <w:jc w:val="left"/>
            </w:pPr>
            <w:r>
              <w:t xml:space="preserve">E+C-観測DBが1,000棟超に。シミュレーション作業（GTモデリスト）で指標・水準を検証。</w:t>
            </w:r>
            <w:r>
              <w:rPr>
                <w:b/>
              </w:rPr>
              <w:t xml:space="preserve">2020年11月、RE2020の方向性公表</w:t>
            </w:r>
            <w:r>
              <w:t xml:space="preserve">（木質・バイオ系を優遇する方針を明示）（ガイド p.30, 32）</w:t>
            </w:r>
          </w:p>
        </w:tc>
      </w:tr>
      <w:tr>
        <w:tc>
          <w:p>
            <w:pPr>
              <w:pStyle w:val="Compact"/>
              <w:jc w:val="left"/>
            </w:pPr>
            <w:r>
              <w:t xml:space="preserve">2021年2月18日</w:t>
            </w:r>
          </w:p>
        </w:tc>
        <w:tc>
          <w:p>
            <w:pPr>
              <w:pStyle w:val="Compact"/>
              <w:jc w:val="left"/>
            </w:pPr>
            <w:r>
              <w:t xml:space="preserve">政府が施行条件の詳細を公表（施行を2022年1月に延期、ダイナミックLCAの標準化手続き開始を表明）（</w:t>
            </w:r>
            <w:hyperlink r:id="rId46">
              <w:r>
                <w:rPr>
                  <w:rStyle w:val="Hyperlink"/>
                </w:rPr>
                <w:t xml:space="preserve">政府プレス資料</w:t>
              </w:r>
            </w:hyperlink>
            <w:r>
              <w:t xml:space="preserve">；210222 deck スライド11）</w:t>
            </w:r>
          </w:p>
        </w:tc>
      </w:tr>
      <w:tr>
        <w:tc>
          <w:p>
            <w:pPr>
              <w:pStyle w:val="Compact"/>
              <w:jc w:val="left"/>
            </w:pPr>
            <w:r>
              <w:t xml:space="preserve">2021年7月29日／8月4日</w:t>
            </w:r>
          </w:p>
        </w:tc>
        <w:tc>
          <w:p>
            <w:pPr>
              <w:pStyle w:val="Compact"/>
              <w:jc w:val="left"/>
            </w:pPr>
            <w:r>
              <w:t xml:space="preserve">デクレ2021-1004・アレテ公布（CSE・CSCEE・CNEN諮問、EU通報手続、パブコメを経由：アレテ前文）</w:t>
            </w:r>
          </w:p>
        </w:tc>
      </w:tr>
      <w:tr>
        <w:tc>
          <w:p>
            <w:pPr>
              <w:pStyle w:val="Compact"/>
              <w:jc w:val="left"/>
            </w:pPr>
            <w:r>
              <w:rPr>
                <w:b/>
              </w:rPr>
              <w:t xml:space="preserve">2022年1月1日</w:t>
            </w:r>
          </w:p>
        </w:tc>
        <w:tc>
          <w:p>
            <w:pPr>
              <w:pStyle w:val="Compact"/>
              <w:jc w:val="left"/>
            </w:pPr>
            <w:r>
              <w:t xml:space="preserve">住宅へ施行（以後順次拡大）。当初予定（2020年夏→2021年夏→2022年1月）から2度延期（210222 deck スライド2）</w:t>
            </w:r>
          </w:p>
        </w:tc>
      </w:tr>
      <w:tr>
        <w:tc>
          <w:p>
            <w:pPr>
              <w:pStyle w:val="Compact"/>
              <w:jc w:val="left"/>
            </w:pPr>
            <w:r>
              <w:t xml:space="preserve">2024年</w:t>
            </w:r>
          </w:p>
        </w:tc>
        <w:tc>
          <w:p>
            <w:pPr>
              <w:pStyle w:val="Compact"/>
              <w:jc w:val="left"/>
            </w:pPr>
            <w:r>
              <w:t xml:space="preserve">閾値第2期（2025年水準）適用準備、A2規格移行</w:t>
            </w:r>
          </w:p>
        </w:tc>
      </w:tr>
      <w:tr>
        <w:tc>
          <w:p>
            <w:pPr>
              <w:pStyle w:val="Compact"/>
              <w:jc w:val="left"/>
            </w:pPr>
            <w:r>
              <w:t xml:space="preserve">2025年7月</w:t>
            </w:r>
          </w:p>
        </w:tc>
        <w:tc>
          <w:p>
            <w:pPr>
              <w:pStyle w:val="Compact"/>
              <w:jc w:val="left"/>
            </w:pPr>
            <w:r>
              <w:rPr>
                <w:b/>
              </w:rPr>
              <w:t xml:space="preserve">Rivaton報告書</w:t>
            </w:r>
            <w:r>
              <w:t xml:space="preserve">（住宅大臣付託の独立評価）：2028・2031年閾値の実現可能性を検証し23の勧告（Rivaton p.4-7, 58-62）</w:t>
            </w:r>
          </w:p>
        </w:tc>
      </w:tr>
    </w:tbl>
    <w:p>
      <w:pPr>
        <w:pStyle w:val="Heading3"/>
      </w:pPr>
      <w:bookmarkStart w:id="47" w:name="X498a73db8de479c11f3dbfb616d790164334c72"/>
      <w:r>
        <w:t xml:space="preserve">④-イ 所管省庁・外郭組織と関連する国家戦略</w:t>
      </w:r>
      <w:bookmarkEnd w:id="47"/>
    </w:p>
    <w:p>
      <w:pPr>
        <w:pStyle w:val="FirstParagraph"/>
      </w:pPr>
      <w:r>
        <w:rPr>
          <w:b/>
        </w:rPr>
        <w:t xml:space="preserve">(1) 実施体制</w:t>
      </w:r>
    </w:p>
    <w:tbl>
      <w:tblPr>
        <w:tblStyle w:val="Table"/>
        <w:tblW w:type="pct" w:w="0.0"/>
        <w:tblLook w:firstRow="1"/>
      </w:tblPr>
      <w:tblGrid/>
      <w:tr>
        <w:trPr>
          <w:cnfStyle w:firstRow="1"/>
        </w:trPr>
        <w:tc>
          <w:tcPr>
            <w:tcBorders>
              <w:bottom w:val="single"/>
            </w:tcBorders>
            <w:vAlign w:val="bottom"/>
          </w:tcPr>
          <w:p>
            <w:pPr>
              <w:pStyle w:val="Compact"/>
              <w:jc w:val="left"/>
            </w:pPr>
            <w:r>
              <w:t xml:space="preserve">組織</w:t>
            </w:r>
          </w:p>
        </w:tc>
        <w:tc>
          <w:tcPr>
            <w:tcBorders>
              <w:bottom w:val="single"/>
            </w:tcBorders>
            <w:vAlign w:val="bottom"/>
          </w:tcPr>
          <w:p>
            <w:pPr>
              <w:pStyle w:val="Compact"/>
              <w:jc w:val="left"/>
            </w:pPr>
            <w:r>
              <w:t xml:space="preserve">役割</w:t>
            </w:r>
          </w:p>
        </w:tc>
      </w:tr>
      <w:tr>
        <w:tc>
          <w:p>
            <w:pPr>
              <w:pStyle w:val="Compact"/>
              <w:jc w:val="left"/>
            </w:pPr>
            <w:r>
              <w:rPr>
                <w:b/>
              </w:rPr>
              <w:t xml:space="preserve">DHUP</w:t>
            </w:r>
            <w:r>
              <w:t xml:space="preserve">（住宅・都市計画・景観局。エコロジー移行省DGALN傘下、住宅担当大臣所管）</w:t>
            </w:r>
          </w:p>
        </w:tc>
        <w:tc>
          <w:p>
            <w:pPr>
              <w:pStyle w:val="Compact"/>
              <w:jc w:val="left"/>
            </w:pPr>
            <w:r>
              <w:t xml:space="preserve">制度設計の主管。GE/協議グループを統括、INIES運用にも関与（Note UGE p.3；Rivaton p.35）</w:t>
            </w:r>
          </w:p>
        </w:tc>
      </w:tr>
      <w:tr>
        <w:tc>
          <w:p>
            <w:pPr>
              <w:pStyle w:val="Compact"/>
              <w:jc w:val="left"/>
            </w:pPr>
            <w:r>
              <w:rPr>
                <w:b/>
              </w:rPr>
              <w:t xml:space="preserve">CSTB</w:t>
            </w:r>
            <w:r>
              <w:t xml:space="preserve">（建築科学技術センター）</w:t>
            </w:r>
          </w:p>
        </w:tc>
        <w:tc>
          <w:p>
            <w:pPr>
              <w:pStyle w:val="Compact"/>
              <w:jc w:val="left"/>
            </w:pPr>
            <w:r>
              <w:t xml:space="preserve">計算エンジン（Th-BCE 2020）開発、熱計算ソフト評価、RSEE収集（OPEE観測体制）、FDES検証体制の技術中核（Rivaton p.31, 35）</w:t>
            </w:r>
          </w:p>
        </w:tc>
      </w:tr>
      <w:tr>
        <w:tc>
          <w:p>
            <w:pPr>
              <w:pStyle w:val="Compact"/>
              <w:jc w:val="left"/>
            </w:pPr>
            <w:r>
              <w:rPr>
                <w:b/>
              </w:rPr>
              <w:t xml:space="preserve">Cerema</w:t>
            </w:r>
          </w:p>
        </w:tc>
        <w:tc>
          <w:p>
            <w:pPr>
              <w:pStyle w:val="Compact"/>
              <w:jc w:val="left"/>
            </w:pPr>
            <w:r>
              <w:t xml:space="preserve">環境計算ソフトの評価（Rivaton p.31）</w:t>
            </w:r>
          </w:p>
        </w:tc>
      </w:tr>
      <w:tr>
        <w:tc>
          <w:p>
            <w:pPr>
              <w:pStyle w:val="Compact"/>
              <w:jc w:val="left"/>
            </w:pPr>
            <w:r>
              <w:rPr>
                <w:b/>
              </w:rPr>
              <w:t xml:space="preserve">ADEME</w:t>
            </w:r>
            <w:r>
              <w:t xml:space="preserve">（環境・エネルギー管理庁）</w:t>
            </w:r>
          </w:p>
        </w:tc>
        <w:tc>
          <w:p>
            <w:pPr>
              <w:pStyle w:val="Compact"/>
              <w:jc w:val="left"/>
            </w:pPr>
            <w:r>
              <w:t xml:space="preserve">E+C-支援、FDES/PEP整備の助成（Alliance HQE-GBCのINIES向け公募支援）（Rivaton p.59）</w:t>
            </w:r>
          </w:p>
        </w:tc>
      </w:tr>
      <w:tr>
        <w:tc>
          <w:p>
            <w:pPr>
              <w:pStyle w:val="Compact"/>
              <w:jc w:val="left"/>
            </w:pPr>
            <w:r>
              <w:rPr>
                <w:b/>
              </w:rPr>
              <w:t xml:space="preserve">CSCEE</w:t>
            </w:r>
            <w:r>
              <w:t xml:space="preserve">（建設・エネルギー効率高等評議会）</w:t>
            </w:r>
          </w:p>
        </w:tc>
        <w:tc>
          <w:p>
            <w:pPr>
              <w:pStyle w:val="Compact"/>
              <w:jc w:val="left"/>
            </w:pPr>
            <w:r>
              <w:t xml:space="preserve">E+C-共同主宰、協議グループ共同議長、法令諮問（ガイド p.29, 31-33；アレテ前文）</w:t>
            </w:r>
          </w:p>
        </w:tc>
      </w:tr>
      <w:tr>
        <w:tc>
          <w:p>
            <w:pPr>
              <w:pStyle w:val="Compact"/>
              <w:jc w:val="left"/>
            </w:pPr>
            <w:r>
              <w:t xml:space="preserve">Alliance HQE-GBC／INIES、PEP Ecopassport</w:t>
            </w:r>
          </w:p>
        </w:tc>
        <w:tc>
          <w:p>
            <w:pPr>
              <w:pStyle w:val="Compact"/>
              <w:jc w:val="left"/>
            </w:pPr>
            <w:r>
              <w:t xml:space="preserve">環境データベースの所有・宣言検証プログラム運営（Rivaton p.31-32）</w:t>
            </w:r>
          </w:p>
        </w:tc>
      </w:tr>
    </w:tbl>
    <w:p>
      <w:pPr>
        <w:pStyle w:val="BodyText"/>
      </w:pPr>
      <w:r>
        <w:rPr>
          <w:b/>
        </w:rPr>
        <w:t xml:space="preserve">(2) 国家戦略との関係</w:t>
      </w:r>
    </w:p>
    <w:p>
      <w:pPr>
        <w:numPr>
          <w:ilvl w:val="0"/>
          <w:numId w:val="1017"/>
        </w:numPr>
        <w:pStyle w:val="Compact"/>
      </w:pPr>
      <w:r>
        <w:rPr>
          <w:b/>
        </w:rPr>
        <w:t xml:space="preserve">SNBC（国家低炭素戦略）</w:t>
      </w:r>
      <w:r>
        <w:t xml:space="preserve">：2050年カーボンニュートラル（エネルギー気候法でL.100-4条に法定、décret n°2020-457でSNBC2採択）。建築部門には2030年32 Mt CO2eq等の炭素予算を配分し、新築の高性能化・ガス比率低減（住宅で41%→2050年15%）を方向付け。「RE2020はこの軌道に位置づく」と公式ガイドが明記（ガイド p.27；</w:t>
      </w:r>
      <w:hyperlink r:id="rId48">
        <w:r>
          <w:rPr>
            <w:rStyle w:val="Hyperlink"/>
          </w:rPr>
          <w:t xml:space="preserve">ecologie.gouv.fr SNBC</w:t>
        </w:r>
      </w:hyperlink>
      <w:r>
        <w:t xml:space="preserve">）。</w:t>
      </w:r>
    </w:p>
    <w:p>
      <w:pPr>
        <w:numPr>
          <w:ilvl w:val="0"/>
          <w:numId w:val="1017"/>
        </w:numPr>
        <w:pStyle w:val="Compact"/>
      </w:pPr>
      <w:r>
        <w:rPr>
          <w:b/>
        </w:rPr>
        <w:t xml:space="preserve">PPE（多年度エネルギー計画）</w:t>
      </w:r>
      <w:r>
        <w:t xml:space="preserve">：再エネ熱（ヒートポンプ、地域熱供給、バイオマス）への転換を方向付け、Ic énergie閾値の設計（事実上のガス排除）に反映（ガイド p.27；Rivaton p.38）。</w:t>
      </w:r>
    </w:p>
    <w:p>
      <w:pPr>
        <w:pStyle w:val="Heading3"/>
      </w:pPr>
      <w:bookmarkStart w:id="49" w:name="Xdfa96ae50dad8803f6409f1e7449ef286609dbb"/>
      <w:r>
        <w:t xml:space="preserve">④-ウ 目的と狙い、課題認識</w:t>
      </w:r>
      <w:bookmarkEnd w:id="49"/>
    </w:p>
    <w:p>
      <w:pPr>
        <w:pStyle w:val="FirstParagraph"/>
      </w:pPr>
      <w:r>
        <w:rPr>
          <w:b/>
        </w:rPr>
        <w:t xml:space="preserve">(1) 目的（公式）</w:t>
      </w:r>
      <w:r>
        <w:t xml:space="preserve">：①新築の省エネ・脱化石燃料（Bbio強化、Cep,nr・Ic énergie導入）、②</w:t>
      </w:r>
      <w:r>
        <w:rPr>
          <w:b/>
        </w:rPr>
        <w:t xml:space="preserve">ライフサイクル全体での気候影響削減</w:t>
      </w:r>
      <w:r>
        <w:t xml:space="preserve">（LCA一般化により「低排出な工法と炭素を貯蔵する工法（バイオ由来材料等）へ誘導」）、③将来気候への適応（夏季快適性DH）（ガイド p.5, 28；ELAN法による目標の確認）。</w:t>
      </w:r>
    </w:p>
    <w:p>
      <w:pPr>
        <w:pStyle w:val="BodyText"/>
      </w:pPr>
      <w:r>
        <w:rPr>
          <w:b/>
        </w:rPr>
        <w:t xml:space="preserve">(2) 政策手段としての特徴</w:t>
      </w:r>
      <w:r>
        <w:t xml:space="preserve">：性能規定（材料中立の閾値規制）を採りつつ、</w:t>
      </w:r>
      <w:r>
        <w:rPr>
          <w:b/>
        </w:rPr>
        <w:t xml:space="preserve">ダイナミックLCAという計算規約の選択によって貯蔵材料を優遇する</w:t>
      </w:r>
      <w:r>
        <w:t xml:space="preserve">、というハイブリッドな設計。政府は「特定材料の義務付けではなく工法の多様性（mixité des matériaux）を促す」と説明（</w:t>
      </w:r>
      <w:hyperlink r:id="rId46">
        <w:r>
          <w:rPr>
            <w:rStyle w:val="Hyperlink"/>
          </w:rPr>
          <w:t xml:space="preserve">2021年2月18日プレス資料</w:t>
        </w:r>
      </w:hyperlink>
      <w:r>
        <w:t xml:space="preserve">）。当初の「2030年までに戸建は木造が標準になる」との発信は、業界反発を受けて後退し、閾値もやや緩和された（210222 deck スライド11）。</w:t>
      </w:r>
    </w:p>
    <w:p>
      <w:pPr>
        <w:pStyle w:val="BodyText"/>
      </w:pPr>
      <w:r>
        <w:rPr>
          <w:b/>
        </w:rPr>
        <w:t xml:space="preserve">(3) 課題認識（2025年評価時点）</w:t>
      </w:r>
      <w:r>
        <w:t xml:space="preserve">（Rivaton p.6-7, 29-30, 58-62）</w:t>
      </w:r>
    </w:p>
    <w:p>
      <w:pPr>
        <w:numPr>
          <w:ilvl w:val="0"/>
          <w:numId w:val="1018"/>
        </w:numPr>
        <w:pStyle w:val="Compact"/>
      </w:pPr>
      <w:r>
        <w:t xml:space="preserve">コスト：2022→2031年で投資費+11%（学習効果で長期に相殺可能性）。住宅供給への下押し（2022-35年で11.8万～34.2万戸の供給減少シナリオ）。</w:t>
      </w:r>
    </w:p>
    <w:p>
      <w:pPr>
        <w:numPr>
          <w:ilvl w:val="0"/>
          <w:numId w:val="1018"/>
        </w:numPr>
        <w:pStyle w:val="Compact"/>
      </w:pPr>
      <w:r>
        <w:t xml:space="preserve">期待削減量：2024年の建設量を2031年水準で建てた場合の理論削減は約790万t CO2（仏カーボンフットプリントの1.2%）。ただしデータの保守性により15～25%過大の可能性。</w:t>
      </w:r>
    </w:p>
    <w:p>
      <w:pPr>
        <w:numPr>
          <w:ilvl w:val="0"/>
          <w:numId w:val="1018"/>
        </w:numPr>
        <w:pStyle w:val="Compact"/>
      </w:pPr>
      <w:r>
        <w:t xml:space="preserve">方法・データ：INIESデータの網羅性・A2移行の混乱、デフォルト値の過大さ、計算エンジンの老朽化、EPBDとの整合。勧告には2022年起点閾値の再計算（+40 kg CO2eq/m²）、FDES整備への国費投入、IC Global（IC énergie＋IC construction合算指標）の創設、見直し条項の制度化等を含む。</w:t>
      </w:r>
    </w:p>
    <w:p>
      <w:pPr>
        <w:pStyle w:val="Heading3"/>
      </w:pPr>
      <w:bookmarkStart w:id="50" w:name="X7d3a602ecbd99bdbe3f5b48b16528893116e295"/>
      <w:r>
        <w:t xml:space="preserve">④-エ フランスの林業木材利用戦略との関係性</w:t>
      </w:r>
      <w:bookmarkEnd w:id="50"/>
    </w:p>
    <w:p>
      <w:pPr>
        <w:numPr>
          <w:ilvl w:val="0"/>
          <w:numId w:val="1019"/>
        </w:numPr>
        <w:pStyle w:val="Compact"/>
      </w:pPr>
      <w:r>
        <w:t xml:space="preserve">**国家森林・木材計画（PNFB 2016-2026）**と木材産業戦略委員会（CSF Bois）は、建築を木材需要の主戦場と位置づけてきた。RE2020の方向性公表（2020年11月）に対し、業界団体France Bois Forêtは「より野心的な炭素基準」を求める声明を発出するなど、</w:t>
      </w:r>
      <w:r>
        <w:rPr>
          <w:b/>
        </w:rPr>
        <w:t xml:space="preserve">木材業界はRE2020を市場拡大の好機として積極的に支持</w:t>
      </w:r>
      <w:r>
        <w:t xml:space="preserve">した（</w:t>
      </w:r>
      <w:hyperlink r:id="rId51">
        <w:r>
          <w:rPr>
            <w:rStyle w:val="Hyperlink"/>
          </w:rPr>
          <w:t xml:space="preserve">France Bois Forêt声明 2020年11月19日</w:t>
        </w:r>
      </w:hyperlink>
      <w:r>
        <w:t xml:space="preserve">）。</w:t>
      </w:r>
    </w:p>
    <w:p>
      <w:pPr>
        <w:numPr>
          <w:ilvl w:val="0"/>
          <w:numId w:val="1019"/>
        </w:numPr>
        <w:pStyle w:val="Compact"/>
      </w:pPr>
      <w:r>
        <w:rPr>
          <w:b/>
        </w:rPr>
        <w:t xml:space="preserve">Plan Ambition Bois-Construction 2030</w:t>
      </w:r>
      <w:r>
        <w:t xml:space="preserve">（2021年3月、業界横断の10コミットメント：人材育成、投資、仏産材供給、混構造、持続可能な森林管理、木材リサイクル等）は、RE2020の野心への支持を明言し、**2030年に建築市場シェア20～30%**を目標とする（</w:t>
      </w:r>
      <w:hyperlink r:id="rId52">
        <w:r>
          <w:rPr>
            <w:rStyle w:val="Hyperlink"/>
          </w:rPr>
          <w:t xml:space="preserve">CODIFAB</w:t>
        </w:r>
      </w:hyperlink>
      <w:r>
        <w:t xml:space="preserve">；</w:t>
      </w:r>
      <w:hyperlink r:id="rId53">
        <w:r>
          <w:rPr>
            <w:rStyle w:val="Hyperlink"/>
          </w:rPr>
          <w:t xml:space="preserve">France Bois Forêt</w:t>
        </w:r>
      </w:hyperlink>
      <w:r>
        <w:t xml:space="preserve">）。</w:t>
      </w:r>
    </w:p>
    <w:p>
      <w:pPr>
        <w:numPr>
          <w:ilvl w:val="0"/>
          <w:numId w:val="1019"/>
        </w:numPr>
        <w:pStyle w:val="Compact"/>
      </w:pPr>
      <w:r>
        <w:t xml:space="preserve">需要側の補完措置として、気候レジリエンス法39条（公共発注の25%バイオ由来・低炭素素材、2030年～）、「バイオ由来建築物ラベル」（décret n°2012-518）、France Relance／PIA4の木造・素材多様化支援（AMI mixité des matériaux）等が並走する（</w:t>
      </w:r>
      <w:hyperlink r:id="rId54">
        <w:r>
          <w:rPr>
            <w:rStyle w:val="Hyperlink"/>
          </w:rPr>
          <w:t xml:space="preserve">ecologie.gouv.fr バイオ・ジオ素材</w:t>
        </w:r>
      </w:hyperlink>
      <w:r>
        <w:t xml:space="preserve">；2021年2月18日プレス資料）。</w:t>
      </w:r>
    </w:p>
    <w:p>
      <w:pPr>
        <w:numPr>
          <w:ilvl w:val="0"/>
          <w:numId w:val="1019"/>
        </w:numPr>
        <w:pStyle w:val="Compact"/>
      </w:pPr>
      <w:r>
        <w:t xml:space="preserve">一方で、(a)国内製材・加工能力（特に広葉樹・CLT）の供給制約、(b)REP料率や防火規制との不整合、(c)A2規格移行による木質系FDESの廃棄段階見直し（構造用木材を除く）など、</w:t>
      </w:r>
      <w:r>
        <w:rPr>
          <w:b/>
        </w:rPr>
        <w:t xml:space="preserve">林業・木材政策とRE2020の接続には運用上の摩擦も残る</w:t>
      </w:r>
      <w:r>
        <w:t xml:space="preserve">（Rivaton p.35, 51-52）。Rivaton報告書は2028・2031年閾値達成の鍵としてバイオ由来材料の利用拡大を挙げており（p.35付近）、RE2020は事実上、フランスの木材建築振興戦略の</w:t>
      </w:r>
      <w:r>
        <w:rPr>
          <w:b/>
        </w:rPr>
        <w:t xml:space="preserve">最も強力な規制ドライバー</w:t>
      </w:r>
      <w:r>
        <w:t xml:space="preserve">となっている。</w:t>
      </w:r>
    </w:p>
    <w:p>
      <w:pPr>
        <w:pStyle w:val="FirstParagraph"/>
      </w:pPr>
      <w:r>
        <w:rPr>
          <w:b/>
        </w:rPr>
        <w:t xml:space="preserve">出典</w:t>
      </w:r>
      <w:r>
        <w:t xml:space="preserve">：</w:t>
      </w:r>
      <w:hyperlink r:id="rId53">
        <w:r>
          <w:rPr>
            <w:rStyle w:val="Hyperlink"/>
          </w:rPr>
          <w:t xml:space="preserve">France Bois Forêt</w:t>
        </w:r>
      </w:hyperlink>
      <w:r>
        <w:t xml:space="preserve">；</w:t>
      </w:r>
      <w:hyperlink r:id="rId52">
        <w:r>
          <w:rPr>
            <w:rStyle w:val="Hyperlink"/>
          </w:rPr>
          <w:t xml:space="preserve">CODIFAB</w:t>
        </w:r>
      </w:hyperlink>
      <w:r>
        <w:t xml:space="preserve">；</w:t>
      </w:r>
      <w:hyperlink r:id="rId54">
        <w:r>
          <w:rPr>
            <w:rStyle w:val="Hyperlink"/>
          </w:rPr>
          <w:t xml:space="preserve">ecologie.gouv.fr</w:t>
        </w:r>
      </w:hyperlink>
      <w:r>
        <w:t xml:space="preserve">；Rivaton p.35, 51-52；210222 deck スライド7, 11</w:t>
      </w:r>
    </w:p>
    <w:p>
      <w:r>
        <w:pict>
          <v:rect style="width:0;height:1.5pt" o:hralign="center" o:hrstd="t" o:hr="t"/>
        </w:pict>
      </w:r>
    </w:p>
    <w:p>
      <w:pPr>
        <w:pStyle w:val="Heading2"/>
      </w:pPr>
      <w:bookmarkStart w:id="55" w:name="X74a71f9f49e66f9377d851d2e3193e862a03fd8"/>
      <w:r>
        <w:t xml:space="preserve">⑤ 日本の制度検討への示唆（簡潔）</w:t>
      </w:r>
      <w:bookmarkEnd w:id="55"/>
    </w:p>
    <w:p>
      <w:pPr>
        <w:numPr>
          <w:ilvl w:val="0"/>
          <w:numId w:val="1020"/>
        </w:numPr>
        <w:pStyle w:val="Compact"/>
      </w:pPr>
      <w:r>
        <w:rPr>
          <w:b/>
        </w:rPr>
        <w:t xml:space="preserve">「計算規約の選択」が材料間競争を直接左右する</w:t>
      </w:r>
      <w:r>
        <w:t xml:space="preserve">：フランスは性能規定の体裁を保ちつつ、ダイナミックLCAという規約選択で木材・バイオ系に実質的クレジット（貯蔵1kgあたり約0.42kg CO2eq）を与えた。日本で木材利用促進と建築物LCAを接続する場合、(a)ダイナミック方式、(b)静的方式＋別建ての貯蔵量表示（StockC型）、(c)静的方式＋貯蔵インセンティブの政策的加点、の選択肢があり、フランスの経験は(a)の科学的争点（時間地平依存性、国際規格との不整合、業界対立）を事前に示す貴重な先行事例である。</w:t>
      </w:r>
    </w:p>
    <w:p>
      <w:pPr>
        <w:numPr>
          <w:ilvl w:val="0"/>
          <w:numId w:val="1020"/>
        </w:numPr>
        <w:pStyle w:val="Compact"/>
      </w:pPr>
      <w:r>
        <w:rPr>
          <w:b/>
        </w:rPr>
        <w:t xml:space="preserve">国際整合リスクの先取りが必要</w:t>
      </w:r>
      <w:r>
        <w:t xml:space="preserve">：EPBD/Level(s)（EN 15978静的）とフランス方式の緊張は、独自方式を採る国が将来負う「再整合コスト」を示す。日本が方式設計する際は、ISO 21930/EN 15804系EPDとの互換性と、貯蔵評価部分の「分離報告」設計（本体は静的、貯蔵効果は別指標）が現実的な折衷となり得る。</w:t>
      </w:r>
    </w:p>
    <w:p>
      <w:pPr>
        <w:numPr>
          <w:ilvl w:val="0"/>
          <w:numId w:val="1020"/>
        </w:numPr>
        <w:pStyle w:val="Compact"/>
      </w:pPr>
      <w:r>
        <w:rPr>
          <w:b/>
        </w:rPr>
        <w:t xml:space="preserve">段階適用＋実証先行のプロセス設計</w:t>
      </w:r>
      <w:r>
        <w:t xml:space="preserve">：E+C-実験（任意参加・観測DB・ラベル）→専門家グループ→大規模協議→法令化→4段階の閾値強化、という約10年がかりの工程と、第三者検証付きEPDデータベース（INIES）・国認定計算ソフト・2段階適合証明という実装インフラが、制度の実効性を支えている。データベース整備（FDES整備費用の国費支援を含む）が最大のボトルネックである点も日本に直接示唆を与える。</w:t>
      </w:r>
    </w:p>
    <w:p>
      <w:pPr>
        <w:numPr>
          <w:ilvl w:val="0"/>
          <w:numId w:val="1020"/>
        </w:numPr>
        <w:pStyle w:val="Compact"/>
      </w:pPr>
      <w:r>
        <w:rPr>
          <w:b/>
        </w:rPr>
        <w:t xml:space="preserve">見直し条項と独立評価の重要性</w:t>
      </w:r>
      <w:r>
        <w:t xml:space="preserve">：施行3年でのRivaton独立評価は、コスト・住宅供給・データ品質の副作用を定量化し、閾値再計算等を勧告した。日本でも導入時に見直し条項（clause de revoyure）と観測体制（RSEE/OPEE型の全棟データ収集）をセットで設計することが望ましい。</w:t>
      </w:r>
    </w:p>
    <w:p>
      <w:r>
        <w:pict>
          <v:rect style="width:0;height:1.5pt" o:hralign="center" o:hrstd="t" o:hr="t"/>
        </w:pict>
      </w:r>
    </w:p>
    <w:p>
      <w:pPr>
        <w:pStyle w:val="Heading2"/>
      </w:pPr>
      <w:bookmarkStart w:id="56" w:name="主要出典一覧"/>
      <w:r>
        <w:t xml:space="preserve">主要出典一覧</w:t>
      </w:r>
      <w:bookmarkEnd w:id="56"/>
    </w:p>
    <w:p>
      <w:pPr>
        <w:pStyle w:val="FirstParagraph"/>
      </w:pPr>
      <w:r>
        <w:rPr>
          <w:b/>
        </w:rPr>
        <w:t xml:space="preserve">一次資料（ローカルPDF）</w:t>
      </w:r>
    </w:p>
    <w:p>
      <w:pPr>
        <w:numPr>
          <w:ilvl w:val="0"/>
          <w:numId w:val="1021"/>
        </w:numPr>
        <w:pStyle w:val="Compact"/>
      </w:pPr>
      <w:r>
        <w:t xml:space="preserve">Ministère de la Transition écologique,</w:t>
      </w:r>
      <w:r>
        <w:t xml:space="preserve"> </w:t>
      </w:r>
      <w:r>
        <w:rPr>
          <w:i/>
        </w:rPr>
        <w:t xml:space="preserve">Guide RE2020 – Éco-construire pour le confort de tous</w:t>
      </w:r>
      <w:r>
        <w:t xml:space="preserve">（2024年1月版）＝guide_re2020_version_janvier_2024.pdf（引用頁は本文中に明記）</w:t>
      </w:r>
    </w:p>
    <w:p>
      <w:pPr>
        <w:numPr>
          <w:ilvl w:val="0"/>
          <w:numId w:val="1021"/>
        </w:numPr>
        <w:pStyle w:val="Compact"/>
      </w:pPr>
      <w:r>
        <w:t xml:space="preserve">Arrêté du 4 août 2021（NOR: LOGL2107359A、JO 2021年8月15日、附属書II含む）＝「Droit national en vigueur - Codes - Légifrance.pdf」収載</w:t>
      </w:r>
    </w:p>
    <w:p>
      <w:pPr>
        <w:numPr>
          <w:ilvl w:val="0"/>
          <w:numId w:val="1021"/>
        </w:numPr>
        <w:pStyle w:val="Compact"/>
      </w:pPr>
      <w:r>
        <w:t xml:space="preserve">Note Univ. Gustave Eiffel（Ventura, Feraille他、2021年3月22日、DHUP宛て）＝Note_Univ_Gustave_Eiffel_Analyse_du_Cycle_de_Vie_pour_la_RE2020.pdf</w:t>
      </w:r>
    </w:p>
    <w:p>
      <w:pPr>
        <w:numPr>
          <w:ilvl w:val="0"/>
          <w:numId w:val="1021"/>
        </w:numPr>
        <w:pStyle w:val="Compact"/>
      </w:pPr>
      <w:r>
        <w:rPr>
          <w:i/>
        </w:rPr>
        <w:t xml:space="preserve">RE2020 / Simplified dynamic LCA</w:t>
      </w:r>
      <w:r>
        <w:t xml:space="preserve">（2021年2月22日、ステークホルダー分析資料）＝210222 RE2020 Dynamic LCA.pdf</w:t>
      </w:r>
    </w:p>
    <w:p>
      <w:pPr>
        <w:numPr>
          <w:ilvl w:val="0"/>
          <w:numId w:val="1021"/>
        </w:numPr>
        <w:pStyle w:val="Compact"/>
      </w:pPr>
      <w:r>
        <w:t xml:space="preserve">Robin Rivaton,</w:t>
      </w:r>
      <w:r>
        <w:t xml:space="preserve"> </w:t>
      </w:r>
      <w:r>
        <w:rPr>
          <w:i/>
        </w:rPr>
        <w:t xml:space="preserve">Rapport sur l'évaluation de la Réglementation Environnementale 2020</w:t>
      </w:r>
      <w:r>
        <w:t xml:space="preserve">（2025年7月10日）＝10.07.2025_Rapport_Robin_Rivaton_RE2020.pdf</w:t>
      </w:r>
    </w:p>
    <w:p>
      <w:pPr>
        <w:numPr>
          <w:ilvl w:val="0"/>
          <w:numId w:val="1021"/>
        </w:numPr>
        <w:pStyle w:val="Compact"/>
      </w:pPr>
      <w:r>
        <w:t xml:space="preserve">Ventura, A. (2022) "Conceptual issue of the dynamic GWP indicator and solution",</w:t>
      </w:r>
      <w:r>
        <w:t xml:space="preserve"> </w:t>
      </w:r>
      <w:r>
        <w:rPr>
          <w:i/>
        </w:rPr>
        <w:t xml:space="preserve">Int. J. LCA</w:t>
      </w:r>
      <w:r>
        <w:t xml:space="preserve">＝ventura_2022.pdf</w:t>
      </w:r>
    </w:p>
    <w:p>
      <w:pPr>
        <w:pStyle w:val="FirstParagraph"/>
      </w:pPr>
      <w:r>
        <w:rPr>
          <w:b/>
        </w:rPr>
        <w:t xml:space="preserve">政府・EU一次資料（Web）</w:t>
      </w:r>
      <w:r>
        <w:t xml:space="preserve"> </w:t>
      </w:r>
      <w:r>
        <w:t xml:space="preserve">7.</w:t>
      </w:r>
      <w:r>
        <w:t xml:space="preserve"> </w:t>
      </w:r>
      <w:hyperlink r:id="rId25">
        <w:r>
          <w:rPr>
            <w:rStyle w:val="Hyperlink"/>
          </w:rPr>
          <w:t xml:space="preserve">Décret n°2021-1004 du 29 juillet 2021（Légifrance）</w:t>
        </w:r>
      </w:hyperlink>
      <w:r>
        <w:t xml:space="preserve"> </w:t>
      </w:r>
      <w:r>
        <w:t xml:space="preserve">8.</w:t>
      </w:r>
      <w:r>
        <w:t xml:space="preserve"> </w:t>
      </w:r>
      <w:hyperlink r:id="rId46">
        <w:r>
          <w:rPr>
            <w:rStyle w:val="Hyperlink"/>
          </w:rPr>
          <w:t xml:space="preserve">RE2020プレス資料 2021年2月18日（ecologie.gouv.fr）</w:t>
        </w:r>
      </w:hyperlink>
      <w:r>
        <w:t xml:space="preserve"> </w:t>
      </w:r>
      <w:r>
        <w:t xml:space="preserve">9.</w:t>
      </w:r>
      <w:r>
        <w:t xml:space="preserve"> </w:t>
      </w:r>
      <w:hyperlink r:id="rId26">
        <w:r>
          <w:rPr>
            <w:rStyle w:val="Hyperlink"/>
          </w:rPr>
          <w:t xml:space="preserve">RT-RE-bâtiment（政府公式技術サイト）</w:t>
        </w:r>
      </w:hyperlink>
      <w:r>
        <w:t xml:space="preserve"> </w:t>
      </w:r>
      <w:r>
        <w:t xml:space="preserve">10.</w:t>
      </w:r>
      <w:r>
        <w:t xml:space="preserve"> </w:t>
      </w:r>
      <w:hyperlink r:id="rId48">
        <w:r>
          <w:rPr>
            <w:rStyle w:val="Hyperlink"/>
          </w:rPr>
          <w:t xml:space="preserve">SNBC（ecologie.gouv.fr）</w:t>
        </w:r>
      </w:hyperlink>
      <w:r>
        <w:t xml:space="preserve">／</w:t>
      </w:r>
      <w:hyperlink r:id="rId57">
        <w:r>
          <w:rPr>
            <w:rStyle w:val="Hyperlink"/>
          </w:rPr>
          <w:t xml:space="preserve">décret n°2020-457（Légifrance）</w:t>
        </w:r>
      </w:hyperlink>
      <w:r>
        <w:t xml:space="preserve"> </w:t>
      </w:r>
      <w:r>
        <w:t xml:space="preserve">11.</w:t>
      </w:r>
      <w:r>
        <w:t xml:space="preserve"> </w:t>
      </w:r>
      <w:hyperlink r:id="rId33">
        <w:r>
          <w:rPr>
            <w:rStyle w:val="Hyperlink"/>
          </w:rPr>
          <w:t xml:space="preserve">診断PEMD（ecologie.gouv.fr）</w:t>
        </w:r>
      </w:hyperlink>
      <w:r>
        <w:t xml:space="preserve">／</w:t>
      </w:r>
      <w:hyperlink r:id="rId34">
        <w:r>
          <w:rPr>
            <w:rStyle w:val="Hyperlink"/>
          </w:rPr>
          <w:t xml:space="preserve">décret n°2021-1941（Légifrance）</w:t>
        </w:r>
      </w:hyperlink>
      <w:r>
        <w:t xml:space="preserve"> </w:t>
      </w:r>
      <w:r>
        <w:t xml:space="preserve">12.</w:t>
      </w:r>
      <w:r>
        <w:t xml:space="preserve"> </w:t>
      </w:r>
      <w:hyperlink r:id="rId30">
        <w:r>
          <w:rPr>
            <w:rStyle w:val="Hyperlink"/>
          </w:rPr>
          <w:t xml:space="preserve">欧州委員会：Global warming potential of buildings（EPBD 2024/1275）</w:t>
        </w:r>
      </w:hyperlink>
      <w:r>
        <w:t xml:space="preserve"> </w:t>
      </w:r>
      <w:r>
        <w:t xml:space="preserve">13.</w:t>
      </w:r>
      <w:r>
        <w:t xml:space="preserve"> </w:t>
      </w:r>
      <w:hyperlink r:id="rId29">
        <w:r>
          <w:rPr>
            <w:rStyle w:val="Hyperlink"/>
          </w:rPr>
          <w:t xml:space="preserve">JRC Level(s) 指標1.2マニュアル（仏語版）</w:t>
        </w:r>
      </w:hyperlink>
      <w:r>
        <w:t xml:space="preserve"> </w:t>
      </w:r>
      <w:r>
        <w:t xml:space="preserve">14.</w:t>
      </w:r>
      <w:r>
        <w:t xml:space="preserve"> </w:t>
      </w:r>
      <w:hyperlink r:id="rId52">
        <w:r>
          <w:rPr>
            <w:rStyle w:val="Hyperlink"/>
          </w:rPr>
          <w:t xml:space="preserve">Plan Ambition Bois-Construction 2030（CODIFAB）</w:t>
        </w:r>
      </w:hyperlink>
      <w:r>
        <w:t xml:space="preserve">／</w:t>
      </w:r>
      <w:hyperlink r:id="rId53">
        <w:r>
          <w:rPr>
            <w:rStyle w:val="Hyperlink"/>
          </w:rPr>
          <w:t xml:space="preserve">France Bois Forêt</w:t>
        </w:r>
      </w:hyperlink>
      <w:r>
        <w:t xml:space="preserve"> </w:t>
      </w:r>
      <w:r>
        <w:t xml:space="preserve">15.</w:t>
      </w:r>
      <w:r>
        <w:t xml:space="preserve"> </w:t>
      </w:r>
      <w:hyperlink r:id="rId35">
        <w:r>
          <w:rPr>
            <w:rStyle w:val="Hyperlink"/>
          </w:rPr>
          <w:t xml:space="preserve">Sénat 質問書回答（気候レジリエンス法39条・25%義務）</w:t>
        </w:r>
      </w:hyperlink>
    </w:p>
    <w:p>
      <w:pPr>
        <w:pStyle w:val="BodyText"/>
      </w:pPr>
      <w:r>
        <w:rPr>
          <w:b/>
        </w:rPr>
        <w:t xml:space="preserve">留意事項</w:t>
      </w:r>
      <w:r>
        <w:t xml:space="preserve">：本文中「推測」と明示した箇所以外は上記一次資料に基づく。アレテ第11条の重み係数表は官報PDF上で図表（画像）として掲載されているため、年次別の中間値（f(1)≈0.984等）は公式ガイドの記載値による。ギュスターヴ・エッフェル大学ノートのAR4減衰関数パラメータはPDFテキスト抽出時に桁区切りが崩れていたため、IPCC AR4原典の標準値（τ1=172.9年等）で補正して記載した。</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energy.ec.europa.eu/topics/energy-efficiency/energy-performance-buildings/energy-performance-buildings-directive/global-warming-potential-buildings_en" TargetMode="External" /><Relationship Type="http://schemas.openxmlformats.org/officeDocument/2006/relationships/hyperlink" Id="rId51" Target="https://franceboisforet.fr/2020/11/19/la-filiere-bois-appelle-des-criteres-plus-ambitieux-pour-relever-les-definis-de-la-neutralite-carbone-communique-de-presse/" TargetMode="External" /><Relationship Type="http://schemas.openxmlformats.org/officeDocument/2006/relationships/hyperlink" Id="rId53" Target="https://franceboisforet.fr/2021/05/26/plan-ambition-bois-construction-2030/" TargetMode="External" /><Relationship Type="http://schemas.openxmlformats.org/officeDocument/2006/relationships/hyperlink" Id="rId26" Target="https://rt-re-batiment.developpement-durable.gouv.fr/" TargetMode="External" /><Relationship Type="http://schemas.openxmlformats.org/officeDocument/2006/relationships/hyperlink" Id="rId29" Target="https://susproc.jrc.ec.europa.eu/product-bureau/sites/default/files/2023-02/1.2.ENV-2020-00029-02-01-FR-TRA-00.pdf" TargetMode="External" /><Relationship Type="http://schemas.openxmlformats.org/officeDocument/2006/relationships/hyperlink" Id="rId31" Target="https://susproc.jrc.ec.europa.eu/product-bureau/sites/default/files/2023-02/UM1.ENV-2020-00021-02-00-FR-TRA-00.pdf" TargetMode="External" /><Relationship Type="http://schemas.openxmlformats.org/officeDocument/2006/relationships/hyperlink" Id="rId52" Target="https://www.codifab.fr/actions-collectives/plan-ambition-bois-construction-2030-2657" TargetMode="External" /><Relationship Type="http://schemas.openxmlformats.org/officeDocument/2006/relationships/hyperlink" Id="rId33" Target="https://www.ecologie.gouv.fr/politiques-publiques/diagnostic-produits-equipements-materiaux-dechets-pemd" TargetMode="External" /><Relationship Type="http://schemas.openxmlformats.org/officeDocument/2006/relationships/hyperlink" Id="rId54" Target="https://www.ecologie.gouv.fr/politiques-publiques/materiaux-construction-biosources-geosources" TargetMode="External" /><Relationship Type="http://schemas.openxmlformats.org/officeDocument/2006/relationships/hyperlink" Id="rId48" Target="https://www.ecologie.gouv.fr/politiques-publiques/strategie-nationale-bas-carbone-snbc" TargetMode="External" /><Relationship Type="http://schemas.openxmlformats.org/officeDocument/2006/relationships/hyperlink" Id="rId46" Target="https://www.ecologie.gouv.fr/sites/default/files/documents/2021.02.18_DP_RE2020_EcoConstruire_0.pdf" TargetMode="External" /><Relationship Type="http://schemas.openxmlformats.org/officeDocument/2006/relationships/hyperlink" Id="rId25" Target="https://www.legifrance.gouv.fr/jorf/id/JORFTEXT000043877196" TargetMode="External" /><Relationship Type="http://schemas.openxmlformats.org/officeDocument/2006/relationships/hyperlink" Id="rId34" Target="https://www.legifrance.gouv.fr/jorf/id/JORFTEXT000044806344" TargetMode="External" /><Relationship Type="http://schemas.openxmlformats.org/officeDocument/2006/relationships/hyperlink" Id="rId57" Target="https://www.legifrance.gouv.fr/loda/id/JORFTEXT000041814459" TargetMode="External" /><Relationship Type="http://schemas.openxmlformats.org/officeDocument/2006/relationships/hyperlink" Id="rId35" Target="https://www.senat.fr/questions/base/2023/qSEQ231109142.html" TargetMode="External" /></Relationships>
</file>

<file path=word/_rels/footnotes.xml.rels><?xml version="1.0" encoding="UTF-8"?>
<Relationships xmlns="http://schemas.openxmlformats.org/package/2006/relationships"><Relationship Type="http://schemas.openxmlformats.org/officeDocument/2006/relationships/hyperlink" Id="rId30" Target="https://energy.ec.europa.eu/topics/energy-efficiency/energy-performance-buildings/energy-performance-buildings-directive/global-warming-potential-buildings_en" TargetMode="External" /><Relationship Type="http://schemas.openxmlformats.org/officeDocument/2006/relationships/hyperlink" Id="rId51" Target="https://franceboisforet.fr/2020/11/19/la-filiere-bois-appelle-des-criteres-plus-ambitieux-pour-relever-les-definis-de-la-neutralite-carbone-communique-de-presse/" TargetMode="External" /><Relationship Type="http://schemas.openxmlformats.org/officeDocument/2006/relationships/hyperlink" Id="rId53" Target="https://franceboisforet.fr/2021/05/26/plan-ambition-bois-construction-2030/" TargetMode="External" /><Relationship Type="http://schemas.openxmlformats.org/officeDocument/2006/relationships/hyperlink" Id="rId26" Target="https://rt-re-batiment.developpement-durable.gouv.fr/" TargetMode="External" /><Relationship Type="http://schemas.openxmlformats.org/officeDocument/2006/relationships/hyperlink" Id="rId29" Target="https://susproc.jrc.ec.europa.eu/product-bureau/sites/default/files/2023-02/1.2.ENV-2020-00029-02-01-FR-TRA-00.pdf" TargetMode="External" /><Relationship Type="http://schemas.openxmlformats.org/officeDocument/2006/relationships/hyperlink" Id="rId31" Target="https://susproc.jrc.ec.europa.eu/product-bureau/sites/default/files/2023-02/UM1.ENV-2020-00021-02-00-FR-TRA-00.pdf" TargetMode="External" /><Relationship Type="http://schemas.openxmlformats.org/officeDocument/2006/relationships/hyperlink" Id="rId52" Target="https://www.codifab.fr/actions-collectives/plan-ambition-bois-construction-2030-2657" TargetMode="External" /><Relationship Type="http://schemas.openxmlformats.org/officeDocument/2006/relationships/hyperlink" Id="rId33" Target="https://www.ecologie.gouv.fr/politiques-publiques/diagnostic-produits-equipements-materiaux-dechets-pemd" TargetMode="External" /><Relationship Type="http://schemas.openxmlformats.org/officeDocument/2006/relationships/hyperlink" Id="rId54" Target="https://www.ecologie.gouv.fr/politiques-publiques/materiaux-construction-biosources-geosources" TargetMode="External" /><Relationship Type="http://schemas.openxmlformats.org/officeDocument/2006/relationships/hyperlink" Id="rId48" Target="https://www.ecologie.gouv.fr/politiques-publiques/strategie-nationale-bas-carbone-snbc" TargetMode="External" /><Relationship Type="http://schemas.openxmlformats.org/officeDocument/2006/relationships/hyperlink" Id="rId46" Target="https://www.ecologie.gouv.fr/sites/default/files/documents/2021.02.18_DP_RE2020_EcoConstruire_0.pdf" TargetMode="External" /><Relationship Type="http://schemas.openxmlformats.org/officeDocument/2006/relationships/hyperlink" Id="rId25" Target="https://www.legifrance.gouv.fr/jorf/id/JORFTEXT000043877196" TargetMode="External" /><Relationship Type="http://schemas.openxmlformats.org/officeDocument/2006/relationships/hyperlink" Id="rId34" Target="https://www.legifrance.gouv.fr/jorf/id/JORFTEXT000044806344" TargetMode="External" /><Relationship Type="http://schemas.openxmlformats.org/officeDocument/2006/relationships/hyperlink" Id="rId57" Target="https://www.legifrance.gouv.fr/loda/id/JORFTEXT000041814459" TargetMode="External" /><Relationship Type="http://schemas.openxmlformats.org/officeDocument/2006/relationships/hyperlink" Id="rId35" Target="https://www.senat.fr/questions/base/2023/qSEQ23110914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2026-06-15T03:10:17Z</dcterms:created>
  <dcterms:modified xsi:type="dcterms:W3CDTF">2026-06-15T03:10:17Z</dcterms:modified>
</cp:coreProperties>
</file>

<file path=docProps/custom.xml><?xml version="1.0" encoding="utf-8"?>
<Properties xmlns="http://schemas.openxmlformats.org/officeDocument/2006/custom-properties" xmlns:vt="http://schemas.openxmlformats.org/officeDocument/2006/docPropsVTypes"/>
</file>