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調査報告書（ドラフト）</w:t>
        <w:br/>
      </w:r>
      <w:r>
        <w:rPr>
          <w:sz w:val="28"/>
        </w:rPr>
        <w:t>調査項目 No.1：RE2020における建築物LCAの位置付け</w:t>
        <w:br/>
        <w:br/>
      </w:r>
      <w:r>
        <w:rPr>
          <w:sz w:val="22"/>
        </w:rPr>
        <w:t>第1係（政策及び制度調査）</w:t>
        <w:br/>
        <w:t>2026年05月27日</w:t>
        <w:br/>
        <w:t>完成度：約80%（初稿）</w:t>
      </w:r>
    </w:p>
    <w:p>
      <w:r>
        <w:br w:type="page"/>
      </w:r>
    </w:p>
    <w:p>
      <w:pPr>
        <w:pStyle w:val="Heading1"/>
      </w:pPr>
      <w:r>
        <w:t>1. 調査の目的と範囲</w:t>
      </w:r>
    </w:p>
    <w:p>
      <w:r>
        <w:t>本報告は、林野庁関連研究（木材の長期利用による炭素貯蔵効果の評価手法検討）の一環として、フランス建築環境規制 RE2020（Réglementation Environnementale 2020）において、建築物の環境性能評価がライフサイクルアセスメント（LCA：フランス語 ACV）にどのように位置づけられているかを整理する。</w:t>
      </w:r>
    </w:p>
    <w:p>
      <w:r>
        <w:t>調査ブロック：(1) 政策及び制度調査／大細目①「建築環境性能評価制度の全体構造」／細目ア</w:t>
      </w:r>
    </w:p>
    <w:p>
      <w:r>
        <w:t>調査手法：文献・政策資料調査（主に Guide RE2020 2024年1月版、Ventura et al. 2021 等）</w:t>
      </w:r>
    </w:p>
    <w:p>
      <w:r>
        <w:t>本稿は制度の全体像と建築物LCAの位置づけに焦点。算定式・動的LCAパラメータの詳細は後続項目で扱う。</w:t>
      </w:r>
    </w:p>
    <w:p>
      <w:pPr>
        <w:pStyle w:val="Heading1"/>
      </w:pPr>
      <w:r>
        <w:t>2. エグゼクティブサマリー</w:t>
      </w:r>
    </w:p>
    <w:p>
      <w:pPr>
        <w:pStyle w:val="ListBullet"/>
      </w:pPr>
      <w:r>
        <w:t>RE2020は RT2012 に代わる新築向けエネルギー・環境統合規制（2022年1月〜段階適用）。</w:t>
      </w:r>
    </w:p>
    <w:p>
      <w:pPr>
        <w:pStyle w:val="ListBullet"/>
      </w:pPr>
      <w:r>
        <w:t>最大の特徴はライフサイクル全体の温室効果ガスを規制対象とした点。公式ガイドは「世界でも数少ない LCA 導入規制」とする。</w:t>
      </w:r>
    </w:p>
    <w:p>
      <w:pPr>
        <w:pStyle w:val="ListBullet"/>
      </w:pPr>
      <w:r>
        <w:t>環境性能はエネルギー・夏季快適と並ぶ第3の柱。建築物LCA（ACV）はここに組み込まれる。</w:t>
      </w:r>
    </w:p>
    <w:p>
      <w:pPr>
        <w:pStyle w:val="ListBullet"/>
      </w:pPr>
      <w:r>
        <w:t>規制指標は Ic bâtiment を中心に、Ic construction（部材＋工事）と Ic énergie（運用）が主要レバー。</w:t>
      </w:r>
    </w:p>
    <w:p>
      <w:pPr>
        <w:pStyle w:val="ListBullet"/>
      </w:pPr>
      <w:r>
        <w:t>環境単位データは INIES が中核。気候影響は動的LCA（簡易版）が既定。</w:t>
      </w:r>
    </w:p>
    <w:p>
      <w:pPr>
        <w:pStyle w:val="ListBullet"/>
      </w:pPr>
      <w:r>
        <w:t>日本への示唆：LC炭素上限、指標分割、国データ基盤、段階義務化、動的LCAの目的設計。</w:t>
      </w:r>
    </w:p>
    <w:p>
      <w:pPr>
        <w:pStyle w:val="Heading1"/>
      </w:pPr>
      <w:r>
        <w:t>3. RE2020の概要と政策文脈</w:t>
      </w:r>
    </w:p>
    <w:p>
      <w:pPr>
        <w:pStyle w:val="Heading2"/>
      </w:pPr>
      <w:r>
        <w:t>3.1 RE2020とは</w:t>
      </w:r>
    </w:p>
    <w:p>
      <w:r>
        <w:t>RE2020はフランスの新築建築向けエネルギー・環境規制。LTECV（2015）、ELAN（2018）等を受け RT2012 を置換。三つの政府目標：エネルギー素朴化・脱炭素、カーボンインパクト低減（建設含む）、夏季快適の確保。</w:t>
      </w:r>
    </w:p>
    <w:p>
      <w:pPr>
        <w:pStyle w:val="Heading2"/>
      </w:pPr>
      <w:r>
        <w:t>3.2 導入経緯</w:t>
      </w:r>
    </w:p>
    <w:p>
      <w:r>
        <w:t>E+C-（Énergie Positive &amp; Réduction Carbone）実証（2016〜）を経て、LCA 導入の実務基盤を整備。2022年1月から住宅に適用開始。</w:t>
      </w:r>
    </w:p>
    <w:p>
      <w:pPr>
        <w:pStyle w:val="Heading2"/>
      </w:pPr>
      <w:r>
        <w:t>3.3 適用スケジュール（抜粋）</w:t>
      </w:r>
    </w:p>
    <w:tbl>
      <w:tblPr>
        <w:tblStyle w:val="TableGrid"/>
        <w:tblW w:type="auto" w:w="0"/>
        <w:tblLook w:firstColumn="1" w:firstRow="1" w:lastColumn="0" w:lastRow="0" w:noHBand="0" w:noVBand="1" w:val="04A0"/>
      </w:tblPr>
      <w:tblGrid>
        <w:gridCol w:w="4320"/>
        <w:gridCol w:w="4320"/>
      </w:tblGrid>
      <w:tr>
        <w:tc>
          <w:tcPr>
            <w:tcW w:type="dxa" w:w="4320"/>
          </w:tcPr>
          <w:p>
            <w:r>
              <w:t>用途</w:t>
            </w:r>
          </w:p>
        </w:tc>
        <w:tc>
          <w:tcPr>
            <w:tcW w:type="dxa" w:w="4320"/>
          </w:tcPr>
          <w:p>
            <w:r>
              <w:t>適用開始</w:t>
            </w:r>
          </w:p>
        </w:tc>
      </w:tr>
      <w:tr>
        <w:tc>
          <w:tcPr>
            <w:tcW w:type="dxa" w:w="4320"/>
          </w:tcPr>
          <w:p>
            <w:r>
              <w:t>住宅</w:t>
            </w:r>
          </w:p>
        </w:tc>
        <w:tc>
          <w:tcPr>
            <w:tcW w:type="dxa" w:w="4320"/>
          </w:tcPr>
          <w:p>
            <w:r>
              <w:t>2022年1月1日</w:t>
            </w:r>
          </w:p>
        </w:tc>
      </w:tr>
      <w:tr>
        <w:tc>
          <w:tcPr>
            <w:tcW w:type="dxa" w:w="4320"/>
          </w:tcPr>
          <w:p>
            <w:r>
              <w:t>事務所・小中学校</w:t>
            </w:r>
          </w:p>
        </w:tc>
        <w:tc>
          <w:tcPr>
            <w:tcW w:type="dxa" w:w="4320"/>
          </w:tcPr>
          <w:p>
            <w:r>
              <w:t>2022年7月1日</w:t>
            </w:r>
          </w:p>
        </w:tc>
      </w:tr>
      <w:tr>
        <w:tc>
          <w:tcPr>
            <w:tcW w:type="dxa" w:w="4320"/>
          </w:tcPr>
          <w:p>
            <w:r>
              <w:t>小規模新築・拡張</w:t>
            </w:r>
          </w:p>
        </w:tc>
        <w:tc>
          <w:tcPr>
            <w:tcW w:type="dxa" w:w="4320"/>
          </w:tcPr>
          <w:p>
            <w:r>
              <w:t>2023年1月1日</w:t>
            </w:r>
          </w:p>
        </w:tc>
      </w:tr>
      <w:tr>
        <w:tc>
          <w:tcPr>
            <w:tcW w:type="dxa" w:w="4320"/>
          </w:tcPr>
          <w:p>
            <w:r>
              <w:t>仮設・軽量レジャー住宅等</w:t>
            </w:r>
          </w:p>
        </w:tc>
        <w:tc>
          <w:tcPr>
            <w:tcW w:type="dxa" w:w="4320"/>
          </w:tcPr>
          <w:p>
            <w:r>
              <w:t>2023年7月1日</w:t>
            </w:r>
          </w:p>
        </w:tc>
      </w:tr>
    </w:tbl>
    <w:p>
      <w:pPr>
        <w:pStyle w:val="Heading1"/>
      </w:pPr>
      <w:r>
        <w:t>4. 建築物LCAの制度上の位置付け</w:t>
      </w:r>
    </w:p>
    <w:p>
      <w:pPr>
        <w:pStyle w:val="Heading2"/>
      </w:pPr>
      <w:r>
        <w:t>4.1 環境性能としての位置づけ</w:t>
      </w:r>
    </w:p>
    <w:p>
      <w:r>
        <w:t>Cerema Guide RE2020（2024）は、環境性能を RE2020 の主要進化と位置づけ、ACV によりライフサイクル全体の影響を評価する。対象はステージ1（原材料）〜5（廃棄物）＋輸送。</w:t>
      </w:r>
    </w:p>
    <w:p>
      <w:pPr>
        <w:pStyle w:val="Heading2"/>
      </w:pPr>
      <w:r>
        <w:t>4.2 三つの評価分野</w:t>
      </w:r>
    </w:p>
    <w:p>
      <w:pPr>
        <w:pStyle w:val="ListBullet"/>
      </w:pPr>
      <w:r>
        <w:t>エネルギー：Bbio, Cep, Cep,nr</w:t>
      </w:r>
    </w:p>
    <w:p>
      <w:pPr>
        <w:pStyle w:val="ListBullet"/>
      </w:pPr>
      <w:r>
        <w:t>夏季快適：DH（不快度時数）</w:t>
      </w:r>
    </w:p>
    <w:p>
      <w:pPr>
        <w:pStyle w:val="ListBullet"/>
      </w:pPr>
      <w:r>
        <w:t>環境：Ic 系（LCA）</w:t>
      </w:r>
    </w:p>
    <w:p>
      <w:pPr>
        <w:pStyle w:val="Heading2"/>
      </w:pPr>
      <w:r>
        <w:t>4.3 五つの寄与（contributions）</w:t>
      </w:r>
    </w:p>
    <w:p>
      <w:pPr>
        <w:pStyle w:val="ListBullet"/>
      </w:pPr>
      <w:r>
        <w:t>Composants（部材・設備）</w:t>
      </w:r>
    </w:p>
    <w:p>
      <w:pPr>
        <w:pStyle w:val="ListBullet"/>
      </w:pPr>
      <w:r>
        <w:t>Énergie（運用）</w:t>
      </w:r>
    </w:p>
    <w:p>
      <w:pPr>
        <w:pStyle w:val="ListBullet"/>
      </w:pPr>
      <w:r>
        <w:t>Chantier（工事）</w:t>
      </w:r>
    </w:p>
    <w:p>
      <w:pPr>
        <w:pStyle w:val="ListBullet"/>
      </w:pPr>
      <w:r>
        <w:t>Eau（水）</w:t>
      </w:r>
    </w:p>
    <w:p>
      <w:pPr>
        <w:pStyle w:val="ListBullet"/>
      </w:pPr>
      <w:r>
        <w:t>Parcelle（敷地）</w:t>
      </w:r>
    </w:p>
    <w:p>
      <w:r>
        <w:t>Ic bâtiment は Composants・Énergie・Eau・Chantier の合計。Composants と Énergie が約90%を占めることが多い。</w:t>
      </w:r>
    </w:p>
    <w:p>
      <w:pPr>
        <w:pStyle w:val="Heading2"/>
      </w:pPr>
      <w:r>
        <w:t>4.4 規制指標</w:t>
      </w:r>
    </w:p>
    <w:p>
      <w:pPr>
        <w:pStyle w:val="ListBullet"/>
      </w:pPr>
      <w:r>
        <w:t>Ic bâtiment：事業全体（kg CO2 eq./m²）</w:t>
      </w:r>
    </w:p>
    <w:p>
      <w:pPr>
        <w:pStyle w:val="ListBullet"/>
      </w:pPr>
      <w:r>
        <w:t>Ic construction：Composants ＋ Chantier</w:t>
      </w:r>
    </w:p>
    <w:p>
      <w:pPr>
        <w:pStyle w:val="ListBullet"/>
      </w:pPr>
      <w:r>
        <w:t>Ic énergie：50年運用のエネルギー起因排出</w:t>
      </w:r>
    </w:p>
    <w:p>
      <w:pPr>
        <w:pStyle w:val="ListBullet"/>
      </w:pPr>
      <w:r>
        <w:t>36環境カテゴリのうち規制は気候変動（GES）のみ</w:t>
      </w:r>
    </w:p>
    <w:p>
      <w:pPr>
        <w:pStyle w:val="Heading2"/>
      </w:pPr>
      <w:r>
        <w:t>4.5 INIES</w:t>
      </w:r>
    </w:p>
    <w:p>
      <w:r>
        <w:t>建材・設備・サービスの données environnementales を集約。算定は数量×環境データ×適応係数。</w:t>
      </w:r>
    </w:p>
    <w:p>
      <w:pPr>
        <w:pStyle w:val="Heading2"/>
      </w:pPr>
      <w:r>
        <w:t>4.6 動的LCA（制度上）</w:t>
      </w:r>
    </w:p>
    <w:p>
      <w:r>
        <w:t>気候影響は動的ACVが既定。t=0を建設時とし、以前は静的、以降100年は動的（放射強制累積）。木材等の一時貯蔵・遅延排出が反映される。Ventura（2021）は観測期間等に方法論的課題を指摘。</w:t>
      </w:r>
    </w:p>
    <w:p>
      <w:pPr>
        <w:pStyle w:val="Heading1"/>
      </w:pPr>
      <w:r>
        <w:t>5. 日本への示唆（初步）</w:t>
      </w:r>
    </w:p>
    <w:p>
      <w:pPr>
        <w:pStyle w:val="ListBullet"/>
      </w:pPr>
      <w:r>
        <w:t>部材・工事と運用を分けた LC-CO2 上限規制</w:t>
      </w:r>
    </w:p>
    <w:p>
      <w:pPr>
        <w:pStyle w:val="ListBullet"/>
      </w:pPr>
      <w:r>
        <w:t>国の建材環境データベース（INIES型）の整備</w:t>
      </w:r>
    </w:p>
    <w:p>
      <w:pPr>
        <w:pStyle w:val="ListBullet"/>
      </w:pPr>
      <w:r>
        <w:t>段階的強化（2025/2028/2031等）との整合</w:t>
      </w:r>
    </w:p>
    <w:p>
      <w:pPr>
        <w:pStyle w:val="ListBullet"/>
      </w:pPr>
      <w:r>
        <w:t>動的LCAは木材貯蔵政策と方法論的妥当性を分離して設計</w:t>
      </w:r>
    </w:p>
    <w:p>
      <w:pPr>
        <w:pStyle w:val="Heading1"/>
      </w:pPr>
      <w:r>
        <w:t>6. 参考文献</w:t>
      </w:r>
    </w:p>
    <w:p>
      <w:pPr>
        <w:pStyle w:val="ListNumber"/>
      </w:pPr>
      <w:r>
        <w:t>Cerema/MTE (2024). Guide RE2020, janvier 2024.</w:t>
      </w:r>
    </w:p>
    <w:p>
      <w:pPr>
        <w:pStyle w:val="ListNumber"/>
      </w:pPr>
      <w:r>
        <w:t>Ventura &amp; Feraille (2021). Recommandations ACV pour RE2020.</w:t>
      </w:r>
    </w:p>
    <w:p>
      <w:pPr>
        <w:pStyle w:val="ListNumber"/>
      </w:pPr>
      <w:r>
        <w:t>RE2020 Simplified dynamic LCA (2021).</w:t>
      </w:r>
    </w:p>
    <w:p>
      <w:pPr>
        <w:pStyle w:val="Heading1"/>
      </w:pPr>
      <w:r>
        <w:t>7. 残タスク（80%→100%）</w:t>
      </w:r>
    </w:p>
    <w:p>
      <w:pPr>
        <w:pStyle w:val="ListBullet"/>
      </w:pPr>
      <w:r>
        <w:t>政令・Annexe原文照合</w:t>
      </w:r>
    </w:p>
    <w:p>
      <w:pPr>
        <w:pStyle w:val="ListBullet"/>
      </w:pPr>
      <w:r>
        <w:t>EN15978/Level(s)対照（項目3）</w:t>
      </w:r>
    </w:p>
    <w:p>
      <w:pPr>
        <w:pStyle w:val="ListBullet"/>
      </w:pPr>
      <w:r>
        <w:t>国内ルールとのギャップ</w:t>
      </w:r>
    </w:p>
    <w:p>
      <w:pPr>
        <w:pStyle w:val="ListBullet"/>
      </w:pPr>
      <w:r>
        <w:t>ヒアリング反映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