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2"/>
        </w:rPr>
        <w:t>調査項目2：技術及び手法の調査</w:t>
        <w:br/>
        <w:t>（動的LCA・RE2020）</w:t>
      </w:r>
    </w:p>
    <w:p>
      <w:pPr>
        <w:jc w:val="center"/>
      </w:pPr>
      <w:r>
        <w:rPr>
          <w:rFonts w:ascii="Yu Gothic" w:hAnsi="Yu Gothic" w:eastAsia="Yu Gothic"/>
          <w:sz w:val="22"/>
        </w:rPr>
        <w:t>ドラフト報告書（完成度約80%）</w:t>
        <w:br/>
        <w:t>令和7年度 林野庁関連調査 / 第2係</w:t>
        <w:br/>
        <w:t>2026年5月27日</w:t>
      </w:r>
    </w:p>
    <w:p/>
    <w:p>
      <w:pPr>
        <w:pStyle w:val="Heading1"/>
      </w:pPr>
      <w:r>
        <w:rPr>
          <w:rFonts w:ascii="Yu Gothic" w:hAnsi="Yu Gothic" w:eastAsia="Yu Gothic"/>
        </w:rPr>
        <w:t>はじめに</w:t>
      </w:r>
    </w:p>
    <w:p>
      <w:r>
        <w:rPr>
          <w:rFonts w:ascii="Yu Gothic" w:hAnsi="Yu Gothic" w:eastAsia="Yu Gothic"/>
          <w:b w:val="0"/>
        </w:rPr>
        <w:t>本報告書は、調査ブロック(2)「技術及び手法の調査」に対応し、フランス建築環境規制RE2020に導入された簡易動的LCAの理論的背景、静的LCA（GWP100）との差異、評価指標・算定ロジック、建築物LCAにおける位置付けを整理したものである（調査項目No.15〜23）。文献は共有フォルダ references/ の英語・資料系文献を主とし、フランス語公式ガイドとの照合は今後の精査課題とする。</w:t>
      </w:r>
    </w:p>
    <w:p>
      <w:pPr>
        <w:pStyle w:val="Heading1"/>
      </w:pPr>
      <w:r>
        <w:rPr>
          <w:rFonts w:ascii="Yu Gothic" w:hAnsi="Yu Gothic" w:eastAsia="Yu Gothic"/>
        </w:rPr>
        <w:t>1. 動的LCAの理論的枠組み</w:t>
      </w:r>
    </w:p>
    <w:p>
      <w:pPr>
        <w:pStyle w:val="Heading2"/>
      </w:pPr>
      <w:r>
        <w:rPr>
          <w:rFonts w:ascii="Yu Gothic" w:hAnsi="Yu Gothic" w:eastAsia="Yu Gothic"/>
        </w:rPr>
        <w:t>1.1 基本概念（No.15）</w:t>
      </w:r>
    </w:p>
    <w:p>
      <w:r>
        <w:rPr>
          <w:rFonts w:ascii="Yu Gothic" w:hAnsi="Yu Gothic" w:eastAsia="Yu Gothic"/>
          <w:b w:val="0"/>
        </w:rPr>
        <w:t>静的LCAはライフサイクル排出を同時点に集約しGWP100等で特性化する。長寿命の建築物では、分析に設定した時間地平（例：100年）と、各排出が実際に寄与する期間が一致しない（Levasseur et al., 2010）。</w:t>
      </w:r>
    </w:p>
    <w:p>
      <w:r>
        <w:rPr>
          <w:rFonts w:ascii="Yu Gothic" w:hAnsi="Yu Gothic" w:eastAsia="Yu Gothic"/>
          <w:b w:val="0"/>
        </w:rPr>
        <w:t>動的LCAは、(1)動的LCI：排出・吸収の年次プロファイル、(2)動的LCIA：時間依存の特性化係数（DCF）により累積放射強制力を評価する。RE2020では完全な動的インベントリではなく、静的GWPにFRE2020(t)を乗じる簡易法を採用する（Ventura, 2022）。</w:t>
      </w:r>
    </w:p>
    <w:p>
      <w:pPr>
        <w:pStyle w:val="Heading2"/>
      </w:pPr>
      <w:r>
        <w:rPr>
          <w:rFonts w:ascii="Yu Gothic" w:hAnsi="Yu Gothic" w:eastAsia="Yu Gothic"/>
        </w:rPr>
        <w:t>1.2 評価期間の根拠（No.16）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概念</w:t>
            </w:r>
          </w:p>
        </w:tc>
        <w:tc>
          <w:tcPr>
            <w:tcW w:type="dxa" w:w="2880"/>
          </w:tcPr>
          <w:p>
            <w:r>
              <w:t>記号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影響時間地平</w:t>
            </w:r>
          </w:p>
        </w:tc>
        <w:tc>
          <w:tcPr>
            <w:tcW w:type="dxa" w:w="2880"/>
          </w:tcPr>
          <w:p>
            <w:r>
              <w:t>THI</w:t>
            </w:r>
          </w:p>
        </w:tc>
        <w:tc>
          <w:tcPr>
            <w:tcW w:type="dxa" w:w="2880"/>
          </w:tcPr>
          <w:p>
            <w:r>
              <w:t>GWP100の「100年」。IPCC慣習</w:t>
            </w:r>
          </w:p>
        </w:tc>
      </w:tr>
      <w:tr>
        <w:tc>
          <w:tcPr>
            <w:tcW w:type="dxa" w:w="2880"/>
          </w:tcPr>
          <w:p>
            <w:r>
              <w:t>ライフサイクル期間</w:t>
            </w:r>
          </w:p>
        </w:tc>
        <w:tc>
          <w:tcPr>
            <w:tcW w:type="dxa" w:w="2880"/>
          </w:tcPr>
          <w:p>
            <w:r>
              <w:t>LCD</w:t>
            </w:r>
          </w:p>
        </w:tc>
        <w:tc>
          <w:tcPr>
            <w:tcW w:type="dxa" w:w="2880"/>
          </w:tcPr>
          <w:p>
            <w:r>
              <w:t>最初〜最後の排出までの期間</w:t>
            </w:r>
          </w:p>
        </w:tc>
      </w:tr>
      <w:tr>
        <w:tc>
          <w:tcPr>
            <w:tcW w:type="dxa" w:w="2880"/>
          </w:tcPr>
          <w:p>
            <w:r>
              <w:t>総観測期間</w:t>
            </w:r>
          </w:p>
        </w:tc>
        <w:tc>
          <w:tcPr>
            <w:tcW w:type="dxa" w:w="2880"/>
          </w:tcPr>
          <w:p>
            <w:r>
              <w:t>TOD</w:t>
            </w:r>
          </w:p>
        </w:tc>
        <w:tc>
          <w:tcPr>
            <w:tcW w:type="dxa" w:w="2880"/>
          </w:tcPr>
          <w:p>
            <w:r>
              <w:t>動的指標の積分上限。RE2020は建設から100年</w:t>
            </w:r>
          </w:p>
        </w:tc>
      </w:tr>
    </w:tbl>
    <w:p>
      <w:r>
        <w:rPr>
          <w:rFonts w:ascii="Yu Gothic" w:hAnsi="Yu Gothic" w:eastAsia="Yu Gothic"/>
          <w:b w:val="0"/>
        </w:rPr>
        <w:t>Ventura (2022)は、流量省略を避けるには TOD ≥ LCD + THI が必要とする。</w:t>
      </w:r>
    </w:p>
    <w:p>
      <w:pPr>
        <w:pStyle w:val="Heading2"/>
      </w:pPr>
      <w:r>
        <w:rPr>
          <w:rFonts w:ascii="Yu Gothic" w:hAnsi="Yu Gothic" w:eastAsia="Yu Gothic"/>
        </w:rPr>
        <w:t>1.3 静的LCAとの差異（No.17）</w:t>
      </w:r>
    </w:p>
    <w:p>
      <w:r>
        <w:rPr>
          <w:rFonts w:ascii="Yu Gothic" w:hAnsi="Yu Gothic" w:eastAsia="Yu Gothic"/>
          <w:b w:val="0"/>
        </w:rPr>
        <w:t>静的GWP100の「100」はTHI、Levasseur型動的GWP100の「100」はTODであり、表記が同じでも物理的意味が異なる。国際標準（EN15804、ISO14067等）は一時的炭素貯蔵を原則除外するが、RE2020簡易動的LCAは貯蔵・遅延排出にクレジットを付与する。</w:t>
      </w:r>
    </w:p>
    <w:p>
      <w:pPr>
        <w:pStyle w:val="Heading1"/>
      </w:pPr>
      <w:r>
        <w:rPr>
          <w:rFonts w:ascii="Yu Gothic" w:hAnsi="Yu Gothic" w:eastAsia="Yu Gothic"/>
        </w:rPr>
        <w:t>2. 評価指標及び算定方法</w:t>
      </w:r>
    </w:p>
    <w:p>
      <w:pPr>
        <w:pStyle w:val="Heading2"/>
      </w:pPr>
      <w:r>
        <w:rPr>
          <w:rFonts w:ascii="Yu Gothic" w:hAnsi="Yu Gothic" w:eastAsia="Yu Gothic"/>
        </w:rPr>
        <w:t>2.1 算定処理とパラメータ（No.18）</w:t>
      </w:r>
    </w:p>
    <w:p>
      <w:r>
        <w:rPr>
          <w:rFonts w:ascii="Yu Gothic" w:hAnsi="Yu Gothic" w:eastAsia="Yu Gothic"/>
          <w:b w:val="0"/>
        </w:rPr>
        <w:t>算定手順：①モジュール別静的GWP100算定 → ②発生年t（引渡し=0）→ ③FRE2020(t)適用 → ④建物指標集約。</w:t>
      </w:r>
    </w:p>
    <w:p>
      <w:r>
        <w:rPr>
          <w:rFonts w:ascii="Yu Gothic" w:hAnsi="Yu Gothic" w:eastAsia="Yu Gothic"/>
          <w:b w:val="0"/>
        </w:rPr>
        <w:t>主パラメータ：THI=100年、TOD=100年（建設起点）、動的適用は使用期50年中心、時間原点は建物引渡し。Venturaは50年時点で係数が約25%過大になり得ると指摘する。</w:t>
      </w:r>
    </w:p>
    <w:p>
      <w:pPr>
        <w:pStyle w:val="Heading2"/>
      </w:pPr>
      <w:r>
        <w:rPr>
          <w:rFonts w:ascii="Yu Gothic" w:hAnsi="Yu Gothic" w:eastAsia="Yu Gothic"/>
        </w:rPr>
        <w:t>2.2 炭素循環の扱い（No.19）</w:t>
      </w:r>
    </w:p>
    <w:p>
      <w:r>
        <w:rPr>
          <w:rFonts w:ascii="Yu Gothic" w:hAnsi="Yu Gothic" w:eastAsia="Yu Gothic"/>
          <w:b w:val="0"/>
        </w:rPr>
        <w:t>動的LCAでは炭素吸収を負の排出として放射強制力に反映できる（Levasseur et al., 2013）。吸収を製造前とみなすか製造後とみなすかで結果が大きく変わる。木製椅子の比較では、PAS2050/ILCDと動的LCAで「最良」エンドオブライフが逆転する。</w:t>
      </w:r>
    </w:p>
    <w:p>
      <w:pPr>
        <w:pStyle w:val="Heading2"/>
      </w:pPr>
      <w:r>
        <w:rPr>
          <w:rFonts w:ascii="Yu Gothic" w:hAnsi="Yu Gothic" w:eastAsia="Yu Gothic"/>
        </w:rPr>
        <w:t>2.3 放射強制力との関係（No.20）</w:t>
      </w:r>
    </w:p>
    <w:p>
      <w:r>
        <w:rPr>
          <w:rFonts w:ascii="Yu Gothic" w:hAnsi="Yu Gothic" w:eastAsia="Yu Gothic"/>
          <w:b w:val="0"/>
        </w:rPr>
        <w:t>GWP・動的GWPは累積放射強制力の指標化に基づく。RE2020簡易法はRFを直接積分せず集約GWPに係数を掛けるため、CH4等短寿命ガスの扱いに限界がある（業界資料の批判）。※本節は専門レビュー必須。</w:t>
      </w:r>
    </w:p>
    <w:p>
      <w:pPr>
        <w:pStyle w:val="Heading1"/>
      </w:pPr>
      <w:r>
        <w:rPr>
          <w:rFonts w:ascii="Yu Gothic" w:hAnsi="Yu Gothic" w:eastAsia="Yu Gothic"/>
        </w:rPr>
        <w:t>3. 建築物LCA算定における位置付け</w:t>
      </w:r>
    </w:p>
    <w:p>
      <w:r>
        <w:rPr>
          <w:rFonts w:ascii="Yu Gothic" w:hAnsi="Yu Gothic" w:eastAsia="Yu Gothic"/>
          <w:b w:val="0"/>
        </w:rPr>
        <w:t>算定環境：既存LCAツール・INIES/FDESデータに係数表を組み合わせる運用（No.21）。</w:t>
      </w:r>
    </w:p>
    <w:p>
      <w:r>
        <w:rPr>
          <w:rFonts w:ascii="Yu Gothic" w:hAnsi="Yu Gothic" w:eastAsia="Yu Gothic"/>
          <w:b w:val="0"/>
        </w:rPr>
        <w:t>静的評価との関係：建材・生物由来部分で動的補正、他モジュールは静的併用（No.22）。</w:t>
      </w:r>
    </w:p>
    <w:p>
      <w:r>
        <w:rPr>
          <w:rFonts w:ascii="Yu Gothic" w:hAnsi="Yu Gothic" w:eastAsia="Yu Gothic"/>
          <w:b w:val="0"/>
        </w:rPr>
        <w:t>結果の利用：2025年-15%、2028年-25%、2031年-30〜-40%のkgCO2eq/m²目標と比較（No.23）。セメント・金属等は手法を批判し木材団体は支持。2021年2月、仏政府は動的LCAの標準化手続きを表明。</w:t>
      </w:r>
    </w:p>
    <w:p>
      <w:pPr>
        <w:pStyle w:val="Heading1"/>
      </w:pPr>
      <w:r>
        <w:rPr>
          <w:rFonts w:ascii="Yu Gothic" w:hAnsi="Yu Gothic" w:eastAsia="Yu Gothic"/>
        </w:rPr>
        <w:t>4. 日本の建築物LCAへの示唆（暫定）</w:t>
      </w:r>
    </w:p>
    <w:p>
      <w:pPr>
        <w:pStyle w:val="ListBullet"/>
      </w:pPr>
      <w:r>
        <w:t>時間地平・起点（引渡し/着工/伐採）の制度定義が最優先課題。</w:t>
      </w:r>
    </w:p>
    <w:p>
      <w:pPr>
        <w:pStyle w:val="ListBullet"/>
      </w:pPr>
      <w:r>
        <w:t>木材炭素貯蔵は「加算」か「時間割引」かで政策メッセージが変わる。</w:t>
      </w:r>
    </w:p>
    <w:p>
      <w:pPr>
        <w:pStyle w:val="ListBullet"/>
      </w:pPr>
      <w:r>
        <w:t>国際整合（PEF/EN15804）と国内木材促進のバランス設計が必要。</w:t>
      </w:r>
    </w:p>
    <w:p>
      <w:pPr>
        <w:pStyle w:val="ListBullet"/>
      </w:pPr>
      <w:r>
        <w:t>係数・データ基盤（第3係）と制度条文（第1係）の突合が次ステップ。</w:t>
      </w:r>
    </w:p>
    <w:p>
      <w:pPr>
        <w:pStyle w:val="Heading1"/>
      </w:pPr>
      <w:r>
        <w:rPr>
          <w:rFonts w:ascii="Yu Gothic" w:hAnsi="Yu Gothic" w:eastAsia="Yu Gothic"/>
        </w:rPr>
        <w:t>参考文献</w:t>
      </w:r>
    </w:p>
    <w:p>
      <w:pPr>
        <w:pStyle w:val="ListBullet"/>
      </w:pPr>
      <w:r>
        <w:t>Levasseur A. et al. (2010). Considering Time in LCA. Environ. Sci. Technol. 44(8):3169-3174.</w:t>
      </w:r>
    </w:p>
    <w:p>
      <w:pPr>
        <w:pStyle w:val="ListBullet"/>
      </w:pPr>
      <w:r>
        <w:t>Levasseur A. et al. (2013). Biogenic Carbon and Temporary Storage. J. Industrial Ecology 17(1):117-128.</w:t>
      </w:r>
    </w:p>
    <w:p>
      <w:pPr>
        <w:pStyle w:val="ListBullet"/>
      </w:pPr>
      <w:r>
        <w:t>Ventura A. (2022). Conceptual issue of the dynamic GWP indicator. Int. J. LCA.</w:t>
      </w:r>
    </w:p>
    <w:p>
      <w:pPr>
        <w:pStyle w:val="ListBullet"/>
      </w:pPr>
      <w:r>
        <w:t>RE2020 / Simplified dynamic LCA (210222 RE2020 Dynamic LCA.pdf).</w:t>
      </w:r>
    </w:p>
    <w:p>
      <w:pPr>
        <w:pStyle w:val="ListBullet"/>
      </w:pPr>
      <w:r>
        <w:t>Forster P. et al. (2007). IPCC AR4 WG1 (radiative forcing).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