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Notes</w:t>
      </w:r>
    </w:p>
    <w:p>
      <w:pPr>
        <w:pStyle w:val="Heading2"/>
      </w:pPr>
      <w:r>
        <w:t>Strategic Constraints</w:t>
      </w:r>
    </w:p>
    <w:p>
      <w:r>
        <w:t>- Never position FluidLogic as a generic hydration lifestyle brand.</w:t>
      </w:r>
    </w:p>
    <w:p>
      <w:r>
        <w:t>- Preserve race-proven credibility and translate it into athlete language.</w:t>
      </w:r>
    </w:p>
    <w:p>
      <w:r>
        <w:t>- Keep the company in premium performance, not wellness vibes.</w:t>
      </w:r>
    </w:p>
    <w:p>
      <w:r>
        <w:t>- Require evidence for every public-facing claim.</w:t>
      </w:r>
    </w:p>
    <w:p>
      <w:r>
        <w:t>- Keep the work executable by a small team.</w:t>
      </w:r>
    </w:p>
    <w:p>
      <w:pPr>
        <w:pStyle w:val="Heading2"/>
      </w:pPr>
      <w:r>
        <w:t>Risk Boundaries</w:t>
      </w:r>
    </w:p>
    <w:p>
      <w:r>
        <w:t>- Claims about dehydration, performance, safety, or recovery must be tied to a source.</w:t>
      </w:r>
    </w:p>
    <w:p>
      <w:r>
        <w:t>- Any athlete-facing promise needs human signoff.</w:t>
      </w:r>
    </w:p>
    <w:p>
      <w:r>
        <w:t>- Pilot plans should be bounded and observable before acceleration.</w:t>
      </w:r>
    </w:p>
    <w:p>
      <w:r>
        <w:t>- Messaging should not imply medical treatment or broad physiological guarantees.</w:t>
      </w:r>
    </w:p>
    <w:p>
      <w:pPr>
        <w:pStyle w:val="Heading2"/>
      </w:pPr>
      <w:r>
        <w:t>Human Gate</w:t>
      </w:r>
    </w:p>
    <w:p>
      <w:r>
        <w:t>Juan and/or the designated commercial owner should approve target segment selection, public messaging, pilot scope, and launch activation.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