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Intake</w:t>
      </w:r>
    </w:p>
    <w:p>
      <w:pPr>
        <w:pStyle w:val="Heading2"/>
      </w:pPr>
      <w:r>
        <w:t>Request</w:t>
      </w:r>
    </w:p>
    <w:p>
      <w:r>
        <w:t>Create project: fluidlogic-agencyos-integration.</w:t>
      </w:r>
    </w:p>
    <w:p>
      <w:pPr>
        <w:pStyle w:val="Heading2"/>
      </w:pPr>
      <w:r>
        <w:t>Desired Outcome</w:t>
      </w:r>
    </w:p>
    <w:p>
      <w:r>
        <w:t>Use AgencyOS Teams to design a research-to-GTM workflow that helps FluidLogic transition from motorsports and tactical credibility into the elite athlete market.</w:t>
      </w:r>
    </w:p>
    <w:p>
      <w:pPr>
        <w:pStyle w:val="Heading2"/>
      </w:pPr>
      <w:r>
        <w:t>Source-Provided Facts</w:t>
      </w:r>
    </w:p>
    <w:p>
      <w:r>
        <w:t>Client: Juan Benitez</w:t>
      </w:r>
    </w:p>
    <w:p>
      <w:r>
        <w:t>Company: FluidLogic</w:t>
      </w:r>
    </w:p>
    <w:p>
      <w:r>
        <w:t>URL: https://fluidlogic.com/</w:t>
      </w:r>
    </w:p>
    <w:p>
      <w:r>
        <w:t>LinkedIn: https://www.linkedin.com/in/juanmbenitez/</w:t>
      </w:r>
    </w:p>
    <w:p>
      <w:r>
        <w:t>Products: GPR50 wearable hydration system; VMR vehicle-mounted racing systems; Intelligent Hydration™</w:t>
      </w:r>
    </w:p>
    <w:p>
      <w:r>
        <w:t>Current markets: motorsports, aviation, tactical, industrial, endurance, adventure</w:t>
      </w:r>
    </w:p>
    <w:p>
      <w:r>
        <w:t>Credibility: NASCAR, IndyCar, IMSA, Baja/off-road, tactical, and racing-adjacent performance environments</w:t>
      </w:r>
    </w:p>
    <w:p>
      <w:r>
        <w:t>Brand direction: sleek, premium, performance-first; Apple clarity and Nike Run discipline</w:t>
      </w:r>
    </w:p>
    <w:p>
      <w:r>
        <w:t>Key constraint: avoid generic wellness positioning and preserve race-proven credibility</w:t>
      </w:r>
    </w:p>
    <w:p>
      <w:pPr>
        <w:pStyle w:val="Heading2"/>
      </w:pPr>
      <w:r>
        <w:t>Strategic Guardrails</w:t>
      </w:r>
    </w:p>
    <w:p>
      <w:r>
        <w:t>1. Do not position FluidLogic as a generic wellness or lifestyle hydration brand.</w:t>
      </w:r>
    </w:p>
    <w:p>
      <w:r>
        <w:t>2. Keep race-proven, data-informed hydration as the central proof point.</w:t>
      </w:r>
    </w:p>
    <w:p>
      <w:r>
        <w:t>3. Build a workflow that is executable by a small team.</w:t>
      </w:r>
    </w:p>
    <w:p>
      <w:r>
        <w:t>4. Every recommendation should be traceable to evidence or customer validation.</w:t>
      </w:r>
    </w:p>
    <w:p>
      <w:r>
        <w:t>5. Keep athlete outcome claims modest and source-bound.</w:t>
      </w:r>
    </w:p>
    <w:p>
      <w:pPr>
        <w:pStyle w:val="Heading2"/>
      </w:pPr>
      <w:r>
        <w:t>Definition Of Done</w:t>
      </w:r>
    </w:p>
    <w:p>
      <w:r>
        <w:t>The project packet exists, the workflow is mapped, agencies and handoffs are defined, evidence guardrails are clear, and a launch-and-learning loop is ready for human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