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Learning Plan</w:t>
      </w:r>
    </w:p>
    <w:p>
      <w:pPr>
        <w:pStyle w:val="Heading2"/>
      </w:pPr>
      <w:r>
        <w:t>Learning Objective</w:t>
      </w:r>
    </w:p>
    <w:p>
      <w:r>
        <w:t>Turn each pilot and launch touchpoint into structured learning so FluidLogic can refine its athlete GTM motion without drifting into generic wellness language.</w:t>
      </w:r>
    </w:p>
    <w:p>
      <w:pPr>
        <w:pStyle w:val="Heading2"/>
      </w:pPr>
      <w:r>
        <w:t>Signals To Track</w:t>
      </w:r>
    </w:p>
    <w:p>
      <w:r>
        <w:t>- which athlete segment responds best</w:t>
      </w:r>
    </w:p>
    <w:p>
      <w:r>
        <w:t>- which proof point is most persuasive</w:t>
      </w:r>
    </w:p>
    <w:p>
      <w:r>
        <w:t>- which sales objection is most common</w:t>
      </w:r>
    </w:p>
    <w:p>
      <w:r>
        <w:t>- which launched message gets engagement</w:t>
      </w:r>
    </w:p>
    <w:p>
      <w:r>
        <w:t>- what conversion path appears viable for a small team</w:t>
      </w:r>
    </w:p>
    <w:p>
      <w:pPr>
        <w:pStyle w:val="Heading2"/>
      </w:pPr>
      <w:r>
        <w:t>Cadence</w:t>
      </w:r>
    </w:p>
    <w:p>
      <w:r>
        <w:t>- weekly review of engagement and pilot response</w:t>
      </w:r>
    </w:p>
    <w:p>
      <w:r>
        <w:t>- monthly review of sales conversations and conversion patterns</w:t>
      </w:r>
    </w:p>
    <w:p>
      <w:r>
        <w:t>- quarterly revision to strategy, content, and offer based on evidence</w:t>
      </w:r>
    </w:p>
    <w:p>
      <w:pPr>
        <w:pStyle w:val="Heading2"/>
      </w:pPr>
      <w:r>
        <w:t>Decision Output</w:t>
      </w:r>
    </w:p>
    <w:p>
      <w:r>
        <w:t>At each review, decide whether to stay, adjust, or pivot the target segment, positioning, or pilot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