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Brief</w:t>
      </w:r>
    </w:p>
    <w:p>
      <w:pPr>
        <w:pStyle w:val="Heading2"/>
      </w:pPr>
      <w:r>
        <w:t>Project Name</w:t>
      </w:r>
    </w:p>
    <w:p>
      <w:r>
        <w:t>FluidLogic AgencyOS Integration</w:t>
      </w:r>
    </w:p>
    <w:p>
      <w:pPr>
        <w:pStyle w:val="Heading2"/>
      </w:pPr>
      <w:r>
        <w:t>Owner</w:t>
      </w:r>
    </w:p>
    <w:p>
      <w:r>
        <w:t>Juan Benitez and FluidLogic commercial leadership</w:t>
      </w:r>
    </w:p>
    <w:p>
      <w:pPr>
        <w:pStyle w:val="Heading2"/>
      </w:pPr>
      <w:r>
        <w:t>Outcome</w:t>
      </w:r>
    </w:p>
    <w:p>
      <w:r>
        <w:t>Create a working AgencyOS model for FluidLogic's elite athlete market transition: research-led positioning, evidence-bound claims, pilot design, sales enablement, content workflow, launch activation, and ongoing learning.</w:t>
      </w:r>
    </w:p>
    <w:p>
      <w:pPr>
        <w:pStyle w:val="Heading2"/>
      </w:pPr>
      <w:r>
        <w:t>Why This Needs Teams</w:t>
      </w:r>
    </w:p>
    <w:p>
      <w:r>
        <w:t>The project spans research, market segmentation, content strategy, sales enablement, evidence review, pilot design, and launch learning. A single assistant cannot safely carry the full workflow while preserving claims quality, message discipline, and handoff accountability.</w:t>
      </w:r>
    </w:p>
    <w:p>
      <w:pPr>
        <w:pStyle w:val="Heading2"/>
      </w:pPr>
      <w:r>
        <w:t>Value Hypothesis</w:t>
      </w:r>
    </w:p>
    <w:p>
      <w:r>
        <w:t>AgencyOS Teams can help FluidLogic preserve motorsports credibility, translate it into elite athlete language, reduce founder over-dependence on research and communications, and establish a repeatable workflow for market testing and learning.</w:t>
      </w:r>
    </w:p>
    <w:p>
      <w:pPr>
        <w:pStyle w:val="Heading2"/>
      </w:pPr>
      <w:r>
        <w:t>Success Criteria</w:t>
      </w:r>
    </w:p>
    <w:p>
      <w:r>
        <w:t>- Clear sequencing of agency work and handoffs</w:t>
      </w:r>
    </w:p>
    <w:p>
      <w:r>
        <w:t>- Evidence-based positioning guardrails</w:t>
      </w:r>
    </w:p>
    <w:p>
      <w:r>
        <w:t>- Ranked athlete market wedges</w:t>
      </w:r>
    </w:p>
    <w:p>
      <w:r>
        <w:t>- Strong pilot design with measurable traction criteria</w:t>
      </w:r>
    </w:p>
    <w:p>
      <w:r>
        <w:t>- Launch and learning loop that improves input over time</w:t>
      </w:r>
    </w:p>
    <w:p>
      <w:r>
        <w:t>- No generic wellness dilution</w:t>
      </w:r>
    </w:p>
    <w:p>
      <w:pPr>
        <w:pStyle w:val="Heading2"/>
      </w:pPr>
      <w:r>
        <w:t>Non-Goals</w:t>
      </w:r>
    </w:p>
    <w:p>
      <w:r>
        <w:t>Do not broaden into mass-market wellness hydration.</w:t>
      </w:r>
    </w:p>
    <w:p>
      <w:r>
        <w:t>Do not make unverified performance claims.</w:t>
      </w:r>
    </w:p>
    <w:p>
      <w:r>
        <w:t>Do not skip evidence review before launch.</w:t>
      </w:r>
    </w:p>
    <w:p>
      <w:r>
        <w:t>Do not treat motorsports credibility as a slogan without translation.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