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Workstreams</w:t>
      </w:r>
    </w:p>
    <w:p>
      <w:pPr>
        <w:pStyle w:val="Heading2"/>
      </w:pPr>
      <w:r>
        <w:t>Workstream Summary</w:t>
      </w:r>
    </w:p>
    <w:p>
      <w:r>
        <w:t>The project is designed as a small research-to-GTM system with clear handoffs and evidence gates. Research informs positioning; positioning shapes pilot design; pilot design feeds launch and learning.</w:t>
      </w:r>
    </w:p>
    <w:p>
      <w:pPr>
        <w:pStyle w:val="Heading2"/>
      </w:pPr>
      <w:r>
        <w:t>Included Streams</w:t>
      </w:r>
    </w:p>
    <w:p>
      <w:r>
        <w:t>- research.md</w:t>
      </w:r>
    </w:p>
    <w:p>
      <w:r>
        <w:t>- positioning.md</w:t>
      </w:r>
    </w:p>
    <w:p>
      <w:r>
        <w:t>- pilot-design.md</w:t>
      </w:r>
    </w:p>
    <w:p>
      <w:r>
        <w:t>- launch-ops.md</w:t>
      </w:r>
    </w:p>
    <w:p>
      <w:r>
        <w:t>- learning-loop.md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