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Launch Playbook</w:t>
      </w:r>
    </w:p>
    <w:p>
      <w:pPr>
        <w:pStyle w:val="Heading2"/>
      </w:pPr>
      <w:r>
        <w:t>Goal</w:t>
      </w:r>
    </w:p>
    <w:p>
      <w:r>
        <w:t>Create a disciplined launch sequence for elite athlete outreach that is premium, evidence-led, and small-team viable.</w:t>
      </w:r>
    </w:p>
    <w:p>
      <w:pPr>
        <w:pStyle w:val="Heading2"/>
      </w:pPr>
      <w:r>
        <w:t>Launch Sequence</w:t>
      </w:r>
    </w:p>
    <w:p>
      <w:r>
        <w:t>1. Win a clear wedge and message architecture.</w:t>
      </w:r>
    </w:p>
    <w:p>
      <w:r>
        <w:t>2. Prepare proof-backed narrative and objection handling.</w:t>
      </w:r>
    </w:p>
    <w:p>
      <w:r>
        <w:t>3. Build a narrow outreach list with athletes, coaches, staff, and performance partners.</w:t>
      </w:r>
    </w:p>
    <w:p>
      <w:r>
        <w:t>4. Activate conversations with a clear, low-friction offer.</w:t>
      </w:r>
    </w:p>
    <w:p>
      <w:r>
        <w:t>5. Collect feedback and update the message quickly.</w:t>
      </w:r>
    </w:p>
    <w:p>
      <w:r>
        <w:t>6. Only scale after response quality is visible.</w:t>
      </w:r>
    </w:p>
    <w:p>
      <w:pPr>
        <w:pStyle w:val="Heading2"/>
      </w:pPr>
      <w:r>
        <w:t>Launch Guardrails</w:t>
      </w:r>
    </w:p>
    <w:p>
      <w:r>
        <w:t>- avoid generic wellness content</w:t>
      </w:r>
    </w:p>
    <w:p>
      <w:r>
        <w:t>- keep brand language premium and specific</w:t>
      </w:r>
    </w:p>
    <w:p>
      <w:r>
        <w:t>- use evidence to support claims</w:t>
      </w:r>
    </w:p>
    <w:p>
      <w:r>
        <w:t>- track response quality before scaling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