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Positioning Draft</w:t>
      </w:r>
    </w:p>
    <w:p>
      <w:pPr>
        <w:pStyle w:val="Heading2"/>
      </w:pPr>
      <w:r>
        <w:t>Strategic position</w:t>
      </w:r>
    </w:p>
    <w:p>
      <w:r>
        <w:t>FluidLogic is a premium intelligent hydration company for athletes and teams operating in high-pressure, high-heat, and performance-critical environments.</w:t>
      </w:r>
    </w:p>
    <w:p>
      <w:pPr>
        <w:pStyle w:val="Heading2"/>
      </w:pPr>
      <w:r>
        <w:t>Core idea</w:t>
      </w:r>
    </w:p>
    <w:p>
      <w:r>
        <w:t>The brand does not compete in the generic wellness hydration category. It competes in the premium performance infrastructure lane: systems that help athletes manage hydration timing, decision-making, and endurance under stress.</w:t>
      </w:r>
    </w:p>
    <w:p>
      <w:pPr>
        <w:pStyle w:val="Heading2"/>
      </w:pPr>
      <w:r>
        <w:t>Positioning pillars</w:t>
      </w:r>
    </w:p>
    <w:p>
      <w:pPr>
        <w:pStyle w:val="Heading3"/>
      </w:pPr>
      <w:r>
        <w:t>1) Race-proven credibility</w:t>
      </w:r>
    </w:p>
    <w:p>
      <w:r>
        <w:t>FluidLogic’s story is rooted in motorsports and rugged performance environments, where heat, fatigue, and decision-making are constant operating conditions.</w:t>
      </w:r>
    </w:p>
    <w:p>
      <w:pPr>
        <w:pStyle w:val="Heading3"/>
      </w:pPr>
      <w:r>
        <w:t>2) Data-informed hydration</w:t>
      </w:r>
    </w:p>
    <w:p>
      <w:r>
        <w:t>The brand should emphasize data-informed hydration strategy rather than generic “better hydration” language.</w:t>
      </w:r>
    </w:p>
    <w:p>
      <w:pPr>
        <w:pStyle w:val="Heading3"/>
      </w:pPr>
      <w:r>
        <w:t>3) Performance under pressure</w:t>
      </w:r>
    </w:p>
    <w:p>
      <w:r>
        <w:t>FluidLogic should speak to athletes who operate in intense conditions and need hydration to support performance stability, not lifestyle wellness messaging.</w:t>
      </w:r>
    </w:p>
    <w:p>
      <w:pPr>
        <w:pStyle w:val="Heading3"/>
      </w:pPr>
      <w:r>
        <w:t>4) Premium, integrated delivery</w:t>
      </w:r>
    </w:p>
    <w:p>
      <w:r>
        <w:t>The brand should be framed as a premium system, not a beverage brand, drink mix, or vague health product.</w:t>
      </w:r>
    </w:p>
    <w:p>
      <w:pPr>
        <w:pStyle w:val="Heading2"/>
      </w:pPr>
      <w:r>
        <w:t>Suggested language</w:t>
      </w:r>
    </w:p>
    <w:p>
      <w:pPr>
        <w:pStyle w:val="ListBullet"/>
      </w:pPr>
      <w:r>
        <w:t>“Built for athletes who operate under heat, load, and performance pressure.”</w:t>
      </w:r>
    </w:p>
    <w:p>
      <w:pPr>
        <w:pStyle w:val="ListBullet"/>
      </w:pPr>
      <w:r>
        <w:t>“Intelligent hydration for high-performance environments.”</w:t>
      </w:r>
    </w:p>
    <w:p>
      <w:pPr>
        <w:pStyle w:val="ListBullet"/>
      </w:pPr>
      <w:r>
        <w:t>“Race-proven hydration systems for athletes and teams who can’t afford hydration breakdowns.”</w:t>
      </w:r>
    </w:p>
    <w:p>
      <w:pPr>
        <w:pStyle w:val="ListBullet"/>
      </w:pPr>
      <w:r>
        <w:t>“Data-informed hydration designed for sustained performance.”</w:t>
      </w:r>
    </w:p>
    <w:p>
      <w:pPr>
        <w:pStyle w:val="Heading2"/>
      </w:pPr>
      <w:r>
        <w:t>Messaging guardrails</w:t>
      </w:r>
    </w:p>
    <w:p>
      <w:pPr>
        <w:pStyle w:val="ListBullet"/>
      </w:pPr>
      <w:r>
        <w:t>Do not frame the company as a broad consumer wellness brand.</w:t>
      </w:r>
    </w:p>
    <w:p>
      <w:pPr>
        <w:pStyle w:val="ListBullet"/>
      </w:pPr>
      <w:r>
        <w:t>Do not use generic hydration clichés without proof.</w:t>
      </w:r>
    </w:p>
    <w:p>
      <w:pPr>
        <w:pStyle w:val="ListBullet"/>
      </w:pPr>
      <w:r>
        <w:t>Do not imply medical or guaranteed performance outcomes without validation.</w:t>
      </w:r>
    </w:p>
    <w:p>
      <w:pPr>
        <w:pStyle w:val="ListBullet"/>
      </w:pPr>
      <w:r>
        <w:t>Keep the communication tied to the performance context and the credibility bridge.</w:t>
      </w:r>
    </w:p>
    <w:p>
      <w:pPr>
        <w:pStyle w:val="Heading2"/>
      </w:pPr>
      <w:r>
        <w:t>Decision rule</w:t>
      </w:r>
    </w:p>
    <w:p>
      <w:r>
        <w:t>The message should sound like premium performance infrastructure, not like a supplement brand or a wellness lifestyle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