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FluidLogic AgencyOS Integration: Execution Status</w:t>
      </w:r>
    </w:p>
    <w:p>
      <w:pPr>
        <w:pStyle w:val="Heading2"/>
      </w:pPr>
      <w:r>
        <w:t>Team Lead Classification</w:t>
      </w:r>
    </w:p>
    <w:p>
      <w:r>
        <w:t>Scope: Market transition project with multiple connected workstreams.</w:t>
      </w:r>
    </w:p>
    <w:p>
      <w:r>
        <w:t>Risk level: High.</w:t>
      </w:r>
    </w:p>
    <w:p>
      <w:r>
        <w:t>Known agencies: Research, Strategy &amp; Positioning, Offer &amp; Pilot Design, Sales Enablement, Content Studio, Launch, Risk &amp; Proof, Insights.</w:t>
      </w:r>
    </w:p>
    <w:p>
      <w:r>
        <w:t>Known constraints: preserve motorsports credibility, avoid generic wellness positioning, keep the workflow small-team compatible, maintain source-bounded claims.</w:t>
      </w:r>
    </w:p>
    <w:p>
      <w:r>
        <w:t>Human decision owner: Juan Benitez / FluidLogic commercial leadership.</w:t>
      </w:r>
    </w:p>
    <w:p>
      <w:r>
        <w:t>Needed output: research packet, premium positioning, pilot plan, launch plan, and learning loop.</w:t>
      </w:r>
    </w:p>
    <w:p>
      <w:pPr>
        <w:pStyle w:val="Heading2"/>
      </w:pPr>
      <w:r>
        <w:t>Status Summary</w:t>
      </w:r>
    </w:p>
    <w:p>
      <w:r>
        <w:t>| Deliverable area | Status | Notes |</w:t>
      </w:r>
    </w:p>
    <w:p>
      <w:r>
        <w:t>| --- | --- | --- |</w:t>
      </w:r>
    </w:p>
    <w:p>
      <w:r>
        <w:t>| Project packet scaffold | Complete | The project structure and core governance files exist. |</w:t>
      </w:r>
    </w:p>
    <w:p>
      <w:r>
        <w:t>| Intake and project brief | Complete | The scope, objective, guardrails, and outcome are defined. |</w:t>
      </w:r>
    </w:p>
    <w:p>
      <w:r>
        <w:t>| Workstream map and agency routing | Complete | The process, agents, and handoff sequence are mapped. |</w:t>
      </w:r>
    </w:p>
    <w:p>
      <w:r>
        <w:t>| Evidence ledger baseline | Complete | Source references and claim boundaries are documented. |</w:t>
      </w:r>
    </w:p>
    <w:p>
      <w:r>
        <w:t>| Research report | Complete | A source-backed competitive and category analysis has been produced. |</w:t>
      </w:r>
    </w:p>
    <w:p>
      <w:r>
        <w:t>| Risk &amp; Proof review | Complete | Claim boundaries and risk language have been documented. |</w:t>
      </w:r>
    </w:p>
    <w:p>
      <w:r>
        <w:t>| Positioning framework | Complete (draft) | The premium performance-system lane is defined and source-bound. |</w:t>
      </w:r>
    </w:p>
    <w:p>
      <w:r>
        <w:t>| Pilot brief | Complete (draft) | A high-heat endurance/test segment concept is drafted with measurable KPI logic. |</w:t>
      </w:r>
    </w:p>
    <w:p>
      <w:r>
        <w:t>| Launch playbook | In progress | The launch frame is defined, but a human approval step remains for target wedge selection. |</w:t>
      </w:r>
    </w:p>
    <w:p>
      <w:r>
        <w:t>| Learning loop | In progress | The process is defined; customer feedback has not yet been captured in a live pilot. |</w:t>
      </w:r>
    </w:p>
    <w:p>
      <w:pPr>
        <w:pStyle w:val="Heading2"/>
      </w:pPr>
      <w:r>
        <w:t>Why the project is no longer blocked</w:t>
      </w:r>
    </w:p>
    <w:p>
      <w:r>
        <w:t>The Research Agency and Risk &amp; Proof Agency have now produced a working evidence-backed foundation for the next stage.</w:t>
      </w:r>
    </w:p>
    <w:p>
      <w:r>
        <w:t>The key blocker is no longer a missing framework; it is a pending human decision on the exact wedge and commercial scope before full launch activation.</w:t>
      </w:r>
    </w:p>
    <w:p>
      <w:pPr>
        <w:pStyle w:val="Heading2"/>
      </w:pPr>
      <w:r>
        <w:t>Current Execution Condition</w:t>
      </w:r>
    </w:p>
    <w:p>
      <w:r>
        <w:t>The project is now in a draft-ready operating state: the research and proof review support positioning, piloting, and launch design, but final commercial execution still requires human approval of the final wedge and target audience.</w:t>
      </w:r>
    </w:p>
    <w:p>
      <w:pPr>
        <w:pStyle w:val="Heading2"/>
      </w:pPr>
      <w:r>
        <w:t>Recommended Next Step</w:t>
      </w:r>
    </w:p>
    <w:p>
      <w:r>
        <w:t>Have Juan or the designated commercial owner approve the recommended wedge (high-heat endurance / high-load performance athletes with coach involvement), then convert the draft positioning and pilot concept into final launch assets and a live learning loop.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