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Closeout Criteria</w:t>
      </w:r>
    </w:p>
    <w:p>
      <w:pPr>
        <w:pStyle w:val="Heading2"/>
      </w:pPr>
      <w:r>
        <w:t>Definition Of Done</w:t>
      </w:r>
    </w:p>
    <w:p>
      <w:r>
        <w:t>The project is complete when the business model, operational pain points, AgencyOS use cases, and realistic value hypothesis are documented and ready for a human owner to approve or reject.</w:t>
      </w:r>
    </w:p>
    <w:p>
      <w:pPr>
        <w:pStyle w:val="Heading2"/>
      </w:pPr>
      <w:r>
        <w:t>Closeout Checklist</w:t>
      </w:r>
    </w:p>
    <w:p>
      <w:r>
        <w:t>- business model reviewed</w:t>
      </w:r>
    </w:p>
    <w:p>
      <w:r>
        <w:t>- manual processes identified</w:t>
      </w:r>
    </w:p>
    <w:p>
      <w:r>
        <w:t>- AgencyOS use cases framed</w:t>
      </w:r>
    </w:p>
    <w:p>
      <w:r>
        <w:t>- operational risks defined</w:t>
      </w:r>
    </w:p>
    <w:p>
      <w:r>
        <w:t>- next-step recommendation prepared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