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ns1="http://schemas.openxmlformats.org/markup-compatibility/2006" xmlns:ns2="http://schemas.openxmlformats.org/officeDocument/2006/relationships" xmlns:w="http://schemas.openxmlformats.org/wordprocessingml/2006/main" ns1:Ignorable="w14 wp14 w15">
  <w:body>
    <w:p>
      <w:pPr>
        <w:pStyle w:val="Title"/>
        <w:jc w:val="left"/>
        <w:rPr>
          <w:color w:themeColor="text1" w:val="000000"/>
          <w:sz w:val="28"/>
          <w:szCs w:val="28"/>
        </w:rPr>
      </w:pPr>
      <w:r>
        <w:rPr>
          <w:color w:themeColor="text1" w:val="000000"/>
          <w:sz w:val="28"/>
          <w:szCs w:val="28"/>
        </w:rPr>
        <w:t xml:space="preserve">A support-cell secretome program in human hippocampal aging is directionally reproducible but not gene-specific</w:t>
      </w:r>
    </w:p>
    <w:p>
      <w:pPr>
        <w:pStyle w:val="Normal"/>
        <w:rPr>
          <w:color w:themeColor="text1" w:val="000000"/>
          <w:sz w:val="22"/>
          <w:szCs w:val="22"/>
        </w:rPr>
      </w:pPr>
      <w:r>
        <w:rPr>
          <w:color w:themeColor="text1" w:val="000000"/>
          <w:sz w:val="22"/>
          <w:szCs w:val="22"/>
        </w:rPr>
        <w:t xml:space="preserve">Koji ShimozakiBrain Science Research Unit, Graduate School of Biomedical Sciences, Nagasaki University, Nagasaki 852-8523, Japan</w:t>
      </w:r>
    </w:p>
    <w:p>
      <w:pPr>
        <w:pStyle w:val="Normal"/>
        <w:rPr>
          <w:color w:themeColor="text1" w:val="000000"/>
          <w:sz w:val="22"/>
          <w:szCs w:val="22"/>
        </w:rPr>
      </w:pPr>
      <w:r>
        <w:rPr>
          <w:color w:themeColor="text1" w:val="000000"/>
          <w:sz w:val="22"/>
          <w:szCs w:val="22"/>
        </w:rPr>
        <w:t xml:space="preserve">Corresponding author: Koji Shimozaki, shimozak@nagasaki-u.ac.jpRunning title: Support-cell secretome-related programs in hippocampal aging</w:t>
      </w:r>
    </w:p>
    <w:p>
      <w:pPr>
        <w:pStyle w:val="Heading1"/>
        <w:rPr>
          <w:color w:themeColor="text1" w:val="000000"/>
          <w:sz w:val="24"/>
          <w:szCs w:val="24"/>
        </w:rPr>
      </w:pPr>
      <w:r>
        <w:rPr>
          <w:color w:themeColor="text1" w:val="000000"/>
          <w:sz w:val="24"/>
          <w:szCs w:val="24"/>
        </w:rPr>
        <w:t xml:space="preserve">Abstract</w:t>
      </w:r>
    </w:p>
    <w:p>
      <w:pPr>
        <w:pStyle w:val="Normal"/>
        <w:rPr>
          <w:color w:themeColor="text1" w:val="000000"/>
          <w:sz w:val="22"/>
          <w:szCs w:val="22"/>
        </w:rPr>
      </w:pPr>
      <w:r>
        <w:rPr>
          <w:color w:themeColor="text1" w:val="000000"/>
          <w:sz w:val="22"/>
          <w:szCs w:val="22"/>
        </w:rPr>
        <w:t xml:space="preserve">Cells that build the hippocampal extracellular environment are a plausible but poorly specified locus of human brain aging, and the single-nucleus designs used to study them are rarely calibrated before they are interpreted. We applied a pre-specified analysis of 2,224 secretome-related genes to a human hippocampal multiome (8 young and 9 older, clinically defined control donors), calibrating the contrast by donor-label permutation before reading any biological result and pairing every claim with a matched null designed to break it. Three findings survived. Older age was associated with a directionally stable secretome-related program across astrocytes, microglia, a mixed vascular compartment, oligodendrocyte precursor cells, and oligodendrocytes: all 60 gene–cell-type pairs kept their sign in every leave-one-donor-out refit, all 57 pairs that remained testable preserved their direction after ambient-RNA correction, and the direction reproduced in an independent hippocampal cohort (Spearman ρ = 0.24; 81% sign concordance versus a 58% background, </w:t>
      </w:r>
      <w:r>
        <w:rPr>
          <w:i/>
          <w:color w:themeColor="text1" w:val="000000"/>
          <w:sz w:val="22"/>
          <w:szCs w:val="22"/>
        </w:rPr>
        <w:t xml:space="preserve">P</w:t>
      </w:r>
      <w:r>
        <w:rPr>
          <w:color w:themeColor="text1" w:val="000000"/>
          <w:sz w:val="22"/>
          <w:szCs w:val="22"/>
        </w:rPr>
        <w:t xml:space="preserve"> = 5×10</w:t>
      </w:r>
      <w:r>
        <w:rPr>
          <w:color w:themeColor="text1" w:val="000000"/>
          <w:sz w:val="22"/>
          <w:szCs w:val="22"/>
          <w:vertAlign w:val="superscript"/>
        </w:rPr>
        <w:t xml:space="preserve">−4</w:t>
      </w:r>
      <w:r>
        <w:rPr>
          <w:color w:themeColor="text1" w:val="000000"/>
          <w:sz w:val="22"/>
          <w:szCs w:val="22"/>
        </w:rPr>
        <w:t xml:space="preserve">). The same program was not reproduced above background in mature dentate granule, CA excitatory, or inhibitory neurons from the same donors, identifying it as support-cell-weighted rather than tissue-wide. RNA and chromatin accessibility were directionally coupled at the gene level in astrocytes, surviving an end-to-end donor-label permutation that repeated gene selection itself (</w:t>
      </w:r>
      <w:r>
        <w:rPr>
          <w:i/>
          <w:color w:themeColor="text1" w:val="000000"/>
          <w:sz w:val="22"/>
          <w:szCs w:val="22"/>
        </w:rPr>
        <w:t xml:space="preserve">P</w:t>
      </w:r>
      <w:r>
        <w:rPr>
          <w:color w:themeColor="text1" w:val="000000"/>
          <w:sz w:val="22"/>
          <w:szCs w:val="22"/>
        </w:rPr>
        <w:t xml:space="preserve"> = 0.025). Four claims did not survive their controls. Expression- and effect-matched control genes reproduced as well as the selected genes (</w:t>
      </w:r>
      <w:r>
        <w:rPr>
          <w:i/>
          <w:color w:themeColor="text1" w:val="000000"/>
          <w:sz w:val="22"/>
          <w:szCs w:val="22"/>
        </w:rPr>
        <w:t xml:space="preserve">P</w:t>
      </w:r>
      <w:r>
        <w:rPr>
          <w:color w:themeColor="text1" w:val="000000"/>
          <w:sz w:val="22"/>
          <w:szCs w:val="22"/>
        </w:rPr>
        <w:t xml:space="preserve"> = 0.146 and </w:t>
      </w:r>
      <w:r>
        <w:rPr>
          <w:i/>
          <w:color w:themeColor="text1" w:val="000000"/>
          <w:sz w:val="22"/>
          <w:szCs w:val="22"/>
        </w:rPr>
        <w:t xml:space="preserve">P</w:t>
      </w:r>
      <w:r>
        <w:rPr>
          <w:color w:themeColor="text1" w:val="000000"/>
          <w:sz w:val="22"/>
          <w:szCs w:val="22"/>
        </w:rPr>
        <w:t xml:space="preserve"> = 0.187), so gene-level specificity is not supported; an apparent RNA–methylation coordination failed all four specificity controls; no upstream regulator was identifiable by motif, footprint, or transcription-factor RNA analysis; and no candidate receiver compartment showed coordinated receptor up-regulation. Donor-label permutation also showed that under a complete null this 8-versus-9 design returns at least one gene significant at FDR &lt; 0.05 in 29–42% of draws, against a bound of 0.05, so the per-gene </w:t>
      </w:r>
      <w:r>
        <w:rPr>
          <w:i/>
          <w:color w:themeColor="text1" w:val="000000"/>
          <w:sz w:val="22"/>
          <w:szCs w:val="22"/>
        </w:rPr>
        <w:t xml:space="preserve">P</w:t>
      </w:r>
      <w:r>
        <w:rPr>
          <w:color w:themeColor="text1" w:val="000000"/>
          <w:sz w:val="22"/>
          <w:szCs w:val="22"/>
        </w:rPr>
        <w:t xml:space="preserve">-values are anti-conservative here and hit counts cannot be read as false-discovery estimates. Three depositor-assigned rare cell labels were not supported by marker or classifier re-analysis and were excluded from every conclusion. The result is a directionally reproducible, mechanistically unresolved support-cell aging program, reported with an explicit account of which inferences human multiome data at this scale can and cannot sustain.</w:t>
      </w:r>
    </w:p>
    <w:p>
      <w:pPr>
        <w:pStyle w:val="Normal"/>
        <w:rPr>
          <w:color w:themeColor="text1" w:val="000000"/>
          <w:sz w:val="22"/>
          <w:szCs w:val="22"/>
        </w:rPr>
      </w:pPr>
      <w:r>
        <w:rPr>
          <w:b/>
          <w:bCs/>
          <w:color w:themeColor="text1" w:val="000000"/>
          <w:sz w:val="22"/>
          <w:szCs w:val="22"/>
        </w:rPr>
        <w:t xml:space="preserve">Keywords: hippocampal aging; niche-supporting cells; secretome-related transcription; extracellular environment; single-nucleus multiome; cognitive aging; matched-null controls; analytical reproducibility</w:t>
      </w:r>
    </w:p>
    <w:p>
      <w:pPr>
        <w:pStyle w:val="Heading1"/>
        <w:rPr>
          <w:color w:themeColor="text1" w:val="000000"/>
          <w:sz w:val="24"/>
          <w:szCs w:val="24"/>
        </w:rPr>
      </w:pPr>
      <w:r>
        <w:rPr>
          <w:color w:themeColor="text1" w:val="000000"/>
          <w:sz w:val="24"/>
          <w:szCs w:val="24"/>
        </w:rPr>
        <w:t xml:space="preserve">Introduction</w:t>
      </w:r>
    </w:p>
    <w:p>
      <w:pPr>
        <w:pStyle w:val="Normal"/>
        <w:rPr>
          <w:color w:themeColor="text1" w:val="000000"/>
          <w:sz w:val="22"/>
          <w:szCs w:val="22"/>
        </w:rPr>
      </w:pPr>
      <w:r>
        <w:rPr>
          <w:color w:themeColor="text1" w:val="000000"/>
          <w:sz w:val="22"/>
          <w:szCs w:val="22"/>
        </w:rPr>
        <w:t xml:space="preserve">The hippocampus supports memory, learning, and spatial navigation, functions that help people remain independent as they age. Yet most accounts of brain aging begin with the neuron: synaptic failure, altered excitability, metabolic stress, or neuronal loss. In the hippocampus, a second influential framework centres on neural stem cells and adult neurogenesis [1]. That framework has generated important biology, but its application to humans remains unsettled. Adult hippocampal neurogenesis has been reported as undetectable [2], persistent throughout life [3], or abundant in neurologically healthy adults but sharply reduced in Alzheimer’s disease [4]. A strategy that requires this debate to be resolved cannot yet provide a stable foundation for studying human hippocampal aging.</w:t>
      </w:r>
    </w:p>
    <w:p>
      <w:pPr>
        <w:pStyle w:val="Normal"/>
        <w:ind w:firstLine="840"/>
        <w:rPr>
          <w:color w:themeColor="text1" w:val="000000"/>
          <w:sz w:val="22"/>
          <w:szCs w:val="22"/>
        </w:rPr>
      </w:pPr>
      <w:r>
        <w:rPr>
          <w:color w:themeColor="text1" w:val="000000"/>
          <w:sz w:val="22"/>
          <w:szCs w:val="22"/>
        </w:rPr>
        <w:t xml:space="preserve">The tissue environment offers a complementary starting point. Astrocytes, microglia, oligodendrocyte-lineage cells, and vascular cells continually maintain the extracellular matrix, inflammatory tone, trophic support, myelin homeostasis, and vascular interface around neurons. Human imaging and biomarker work has already linked aging to blood–brain barrier disruption in the hippocampus [5]. In experimental systems, microglial phagocytosis, myeloid-cell metabolism, vascular VCAM1 signalling, tissue stiffness, circulating exercise factors, and cerebrospinal-fluid signals have each proved manipulable, with effects on cellular or cognitive outcomes in aged nervous systems [6–11]. These studies do not establish that any gene found here is a treatment target. They do show that the non-neuronal environment is biologically active and, in principle, experimentally accessible.</w:t>
      </w:r>
    </w:p>
    <w:p>
      <w:pPr>
        <w:pStyle w:val="Normal"/>
        <w:ind w:firstLine="840"/>
        <w:rPr>
          <w:color w:themeColor="text1" w:val="000000"/>
          <w:sz w:val="22"/>
          <w:szCs w:val="22"/>
        </w:rPr>
      </w:pPr>
      <w:r>
        <w:rPr>
          <w:color w:themeColor="text1" w:val="000000"/>
          <w:sz w:val="22"/>
          <w:szCs w:val="22"/>
        </w:rPr>
        <w:t xml:space="preserve">What remains poorly defined is how this environment changes during clinically defined human control aging, which support-cell compartments carry the change, and whether the same program is simply part of neuronal aging. Secretome-related genes provide a useful window on that problem. They encode cytokines, growth factors, extracellular-matrix components, and other proteins capable of shaping neighbouring cells or tissue structure. Their nuclear transcripts do not measure secretion, but they nominate the molecular vocabulary through which a cell may modify its surroundings. A coordinated inflammatory and matrix-related shift can also be compared with senescence-associated secretory programs and with independent protein datasets [12–16].</w:t>
      </w:r>
    </w:p>
    <w:p>
      <w:pPr>
        <w:pStyle w:val="Normal"/>
        <w:ind w:firstLine="840"/>
        <w:rPr>
          <w:color w:themeColor="text1" w:val="000000"/>
          <w:sz w:val="22"/>
          <w:szCs w:val="22"/>
        </w:rPr>
      </w:pPr>
      <w:r>
        <w:rPr>
          <w:color w:themeColor="text1" w:val="000000"/>
          <w:sz w:val="22"/>
          <w:szCs w:val="22"/>
        </w:rPr>
        <w:t xml:space="preserve">Here, we reanalysed a human hippocampal single-nucleus multiome spanning young adulthood, clinically defined control aging, and Alzheimer’s disease [17]. We asked four linked questions: which secretome-related transcripts change with older age in established niche-supporting cells; whether the same program appears in mature neurons from the same donors; whether its direction reproduces in independent human datasets and protein references; and which regulatory or spatial mechanisms are supported by the available data. Donors, rather than nuclei, were the units of replication, and the aging signature was defined without using the Alzheimer’s-disease contrast. We also treated the design itself as something to be measured: the primary contrast was calibrated by donor-label permutation, and each claim was paired with a control constructed to break it, so that what these data can and cannot support is separated rather than inferred from counts of significant genes. The resulting framework is deliberately neurogenesis-agnostic: it does not claim that adult neurogenesis is absent or irrelevant, but it reveals a support-cell-enriched dimension of hippocampal aging that can be studied without first resolving that question.</w:t>
      </w:r>
    </w:p>
    <w:p>
      <w:pPr>
        <w:pStyle w:val="Heading1"/>
        <w:rPr>
          <w:color w:themeColor="text1" w:val="000000"/>
          <w:sz w:val="24"/>
          <w:szCs w:val="24"/>
        </w:rPr>
      </w:pPr>
      <w:r>
        <w:rPr>
          <w:color w:themeColor="text1" w:val="000000"/>
          <w:sz w:val="24"/>
          <w:szCs w:val="24"/>
        </w:rPr>
        <w:t xml:space="preserve">Methods</w:t>
      </w:r>
    </w:p>
    <w:p>
      <w:pPr>
        <w:pStyle w:val="Heading2"/>
        <w:rPr>
          <w:color w:themeColor="text1" w:val="000000"/>
          <w:sz w:val="22"/>
          <w:szCs w:val="22"/>
        </w:rPr>
      </w:pPr>
      <w:r>
        <w:rPr>
          <w:color w:themeColor="text1" w:val="000000"/>
          <w:sz w:val="22"/>
          <w:szCs w:val="22"/>
        </w:rPr>
        <w:t xml:space="preserve">Study design and datasets</w:t>
      </w:r>
    </w:p>
    <w:p>
      <w:pPr>
        <w:pStyle w:val="Normal"/>
        <w:rPr>
          <w:color w:themeColor="text1" w:val="000000"/>
          <w:sz w:val="22"/>
          <w:szCs w:val="22"/>
        </w:rPr>
      </w:pPr>
      <w:r>
        <w:rPr>
          <w:color w:themeColor="text1" w:val="000000"/>
          <w:sz w:val="22"/>
          <w:szCs w:val="22"/>
        </w:rPr>
        <w:t xml:space="preserve">The primary dataset was GSE268609, a paired human hippocampal single-nucleus RNA-sequencing (snRNA-seq) and ATAC-sequencing (ATAC-seq) multiome from Disouky et al. [17]. The deposit contains 39 donor records distributed across young-adult (YA), healthy-aging (HA), mild cognitive impairment (MCI), Alzheimer’s disease (AD), and SuperAger (SA) groups. The primary control aging comparison included 8 YA donors aged 21–38 years and 9 HA donors aged 60–93 years. Disease and resilience groups were analysed separately.</w:t>
      </w:r>
    </w:p>
    <w:p>
      <w:pPr>
        <w:pStyle w:val="Normal"/>
        <w:ind w:firstLine="840"/>
        <w:rPr>
          <w:color w:themeColor="text1" w:val="000000"/>
          <w:sz w:val="22"/>
          <w:szCs w:val="22"/>
        </w:rPr>
      </w:pPr>
      <w:r>
        <w:rPr>
          <w:color w:themeColor="text1" w:val="000000"/>
          <w:sz w:val="22"/>
          <w:szCs w:val="22"/>
        </w:rPr>
        <w:t xml:space="preserve">The principal reproduction dataset was GSE278576, a 40-donor human hippocampal snRNA-seq and ATAC-seq multiome from Zemke et al. [18]. Raw counts were assembled from the 40 donor-specific CellRanger matrices. The methylation analysis used GSE299139, the matched 40-donor single-nucleus methyl-3C (snm3C) arm of the same study, provided as cell-type-specific, base-resolution ALLC files aligned to hg38 [18]. GSE186538 provided a supporting continuous-age transcriptomic dataset that included the endothelial arm [19]. GSE199243 was used as a boundary comparison rather than a successful reproduction cohort because its signed reproducibility was 0.02 [20]. Spatial analyses used GSE264692 (Visium) [21], and the cognitive-resilience analysis used GSE325391 [22].</w:t>
      </w:r>
    </w:p>
    <w:p>
      <w:pPr>
        <w:pStyle w:val="Normal"/>
        <w:ind w:firstLine="840"/>
        <w:rPr>
          <w:color w:themeColor="text1" w:val="000000"/>
          <w:sz w:val="22"/>
          <w:szCs w:val="22"/>
        </w:rPr>
      </w:pPr>
      <w:r>
        <w:rPr>
          <w:color w:themeColor="text1" w:val="000000"/>
          <w:sz w:val="22"/>
          <w:szCs w:val="22"/>
        </w:rPr>
        <w:t xml:space="preserve">Candidate public datasets were evaluated for human hippocampal coverage, donor-age metadata, availability of count-level data, and compatible cell classes. GSE199243 has two deposited versions; we used version 2 and re-annotated its glia by marker-scored Leiden clustering [23] at resolution 1.0 with random seed 42. Cluster assignments were moderately seed-sensitive (adjusted Rand index 0.80–0.86), which reinforced the use of this dataset as a boundary comparison rather than a principal reproduction cohort. Raw public data were not redistributed; accession numbers are listed under Data availability.</w:t>
      </w:r>
    </w:p>
    <w:p>
      <w:pPr>
        <w:pStyle w:val="Heading2"/>
        <w:rPr>
          <w:color w:themeColor="text1" w:val="000000"/>
          <w:sz w:val="22"/>
          <w:szCs w:val="22"/>
        </w:rPr>
      </w:pPr>
      <w:r>
        <w:rPr>
          <w:color w:themeColor="text1" w:val="000000"/>
          <w:sz w:val="22"/>
          <w:szCs w:val="22"/>
        </w:rPr>
        <w:t xml:space="preserve">Secretome definition</w:t>
      </w:r>
    </w:p>
    <w:p>
      <w:pPr>
        <w:pStyle w:val="Normal"/>
        <w:rPr>
          <w:color w:themeColor="text1" w:val="000000"/>
          <w:sz w:val="22"/>
          <w:szCs w:val="22"/>
        </w:rPr>
      </w:pPr>
      <w:r>
        <w:rPr>
          <w:color w:themeColor="text1" w:val="000000"/>
          <w:sz w:val="22"/>
          <w:szCs w:val="22"/>
        </w:rPr>
        <w:t xml:space="preserve">We defined the secretome universe as the union of the Human Protein Atlas “predicted secreted” annotation [24] and reviewed human UniProtKB entries annotated with subcellular_location:secreted [25]. The union contained 2,224 genes; the intersection contained 1,813 and captured all 20 canonical aging markers considered in the analysis. Cytokine, growth-factor, neuropeptide, and extracellular-matrix/matrisome-like categories were assigned with regular-expression and keyword rules applied to gene symbols. The extracellular-matrix category is therefore a matrisome-like proxy, not a curated MatrisomeDB membership.</w:t>
      </w:r>
    </w:p>
    <w:p>
      <w:pPr>
        <w:pStyle w:val="Heading2"/>
        <w:rPr>
          <w:color w:themeColor="text1" w:val="000000"/>
          <w:sz w:val="22"/>
          <w:szCs w:val="22"/>
        </w:rPr>
      </w:pPr>
      <w:r>
        <w:rPr>
          <w:color w:themeColor="text1" w:val="000000"/>
          <w:sz w:val="22"/>
          <w:szCs w:val="22"/>
        </w:rPr>
        <w:t xml:space="preserve">Cell-type annotation and validation</w:t>
      </w:r>
    </w:p>
    <w:p>
      <w:pPr>
        <w:pStyle w:val="Normal"/>
        <w:rPr>
          <w:color w:themeColor="text1" w:val="000000"/>
          <w:sz w:val="22"/>
          <w:szCs w:val="22"/>
        </w:rPr>
      </w:pPr>
      <w:r>
        <w:rPr>
          <w:color w:themeColor="text1" w:val="000000"/>
          <w:sz w:val="22"/>
          <w:szCs w:val="22"/>
        </w:rPr>
        <w:t xml:space="preserve">For GSE268609 and GSE325391 [22], we retained the authors’ deposited cell-type labels. In GSE268609, the Cluster field was harmonised to five niche classes through celltype_l1; the deposit contains no subclass field. GSE199243 glia were re-annotated as described above.</w:t>
      </w:r>
    </w:p>
    <w:p>
      <w:pPr>
        <w:pStyle w:val="Normal"/>
        <w:ind w:firstLine="840"/>
        <w:rPr>
          <w:color w:themeColor="text1" w:val="000000"/>
          <w:sz w:val="22"/>
          <w:szCs w:val="22"/>
        </w:rPr>
      </w:pPr>
      <w:r>
        <w:rPr>
          <w:color w:themeColor="text1" w:val="000000"/>
          <w:sz w:val="22"/>
          <w:szCs w:val="22"/>
        </w:rPr>
        <w:t xml:space="preserve">The GSE268609 Endothelial label requires special care. Because the deposit contains no separate mural, fibroblast, or vascular leptomeningeal class, this label represents a mixed vascular compartment rather than pure endothelium. Subclustering YA and HA nuclei at resolution 0.6 assigned 29.5% to non-endothelial identities; 14.1% were unambiguous, with a negative endothelial-panel score and CLDN5 expression about one-twelfth that of the endothelial subclusters. The remaining assignments were close calls. The non-endothelial fraction did not differ detectably between age groups (0.264 in YA versus 0.364 in HA; Mann–Whitney </w:t>
      </w:r>
      <w:r>
        <w:rPr>
          <w:i/>
          <w:iCs/>
          <w:color w:themeColor="text1" w:val="000000"/>
          <w:sz w:val="22"/>
          <w:szCs w:val="22"/>
        </w:rPr>
        <w:t xml:space="preserve">P</w:t>
      </w:r>
      <w:r>
        <w:rPr>
          <w:color w:themeColor="text1" w:val="000000"/>
          <w:sz w:val="22"/>
          <w:szCs w:val="22"/>
        </w:rPr>
        <w:t xml:space="preserve"> = 0.50, </w:t>
      </w:r>
      <w:r>
        <w:rPr>
          <w:i/>
          <w:color w:themeColor="text1" w:val="000000"/>
          <w:sz w:val="22"/>
          <w:szCs w:val="22"/>
        </w:rPr>
        <w:t xml:space="preserve">n</w:t>
      </w:r>
      <w:r>
        <w:rPr>
          <w:color w:themeColor="text1" w:val="000000"/>
          <w:sz w:val="22"/>
          <w:szCs w:val="22"/>
        </w:rPr>
        <w:t xml:space="preserve"> = 8/9), although this comparison was underpowered. Donor-level adjustment for that fraction left all 11 vascular hits at adjusted </w:t>
      </w:r>
      <w:r>
        <w:rPr>
          <w:i/>
          <w:iCs/>
          <w:color w:themeColor="text1" w:val="000000"/>
          <w:sz w:val="22"/>
          <w:szCs w:val="22"/>
        </w:rPr>
        <w:t xml:space="preserve">P</w:t>
      </w:r>
      <w:r>
        <w:rPr>
          <w:color w:themeColor="text1" w:val="000000"/>
          <w:sz w:val="22"/>
          <w:szCs w:val="22"/>
        </w:rPr>
        <w:t xml:space="preserve"> &lt; 0.1. Restricting the analysis to endothelial subclusters reduced the sample from 16 to 14 donors and from 873 to 598 nuclei because two aged donors fell below the 10-nucleus threshold. It also changed both estimates and standard errors (secretome log2-fold-change correlation with the full compartment, 0.62). Thus, the 6 of 11 hits that remain significant after restriction reflect both lower power and a change in the measured effect; neither explanation can be isolated.</w:t>
      </w:r>
    </w:p>
    <w:p>
      <w:pPr>
        <w:pStyle w:val="Normal"/>
        <w:ind w:firstLine="840"/>
        <w:rPr>
          <w:color w:themeColor="text1" w:val="000000"/>
          <w:sz w:val="22"/>
          <w:szCs w:val="22"/>
        </w:rPr>
      </w:pPr>
      <w:r>
        <w:rPr>
          <w:color w:themeColor="text1" w:val="000000"/>
          <w:sz w:val="22"/>
          <w:szCs w:val="22"/>
        </w:rPr>
        <w:t xml:space="preserve">The GSE268609 labels were transferred with an scVI/scANVI model that had no abstention option and used a reference set that included fetal forebrain. We therefore re-examined three rare clusters labelled neural stem cells (NSCs), neuroblasts, and immature neurons. Each nucleus was scored against ten lineage panels and reassigned only when a single panel prevailed on positive evidence. Only 0.9% of NSC-labelled nuclei and none of the neuroblast- or immature-labelled nuclei retained their deposited label, compared with 83–99.8% retention for astrocytes, oligodendrocytes, granule cells, and microglia. NSC-labelled nuclei were reassigned to astrocytes (38%) or oligodendrocytes (61%); neuroblast-labelled nuclei were reassigned predominantly to oligodendrocytes (86%); and immature-labelled nuclei were reassigned almost entirely to neurons (99.8%). A classifier trained against synthetic doublets assigned 58% of the NSC-labelled nuclei to astrocyte×oligodendrocyte doublets, 83% of neuroblast-labelled nuclei to oligodendrocytes (3.7% heterotypic doublets), and 91% of immature-labelled nuclei to mature dentate granule cells.</w:t>
      </w:r>
    </w:p>
    <w:p>
      <w:pPr>
        <w:pStyle w:val="Normal"/>
        <w:ind w:firstLine="840"/>
        <w:rPr>
          <w:color w:themeColor="text1" w:val="000000"/>
          <w:sz w:val="22"/>
          <w:szCs w:val="22"/>
        </w:rPr>
      </w:pPr>
      <w:r>
        <w:rPr>
          <w:color w:themeColor="text1" w:val="000000"/>
          <w:sz w:val="22"/>
          <w:szCs w:val="22"/>
        </w:rPr>
        <w:t xml:space="preserve">However, the same classifier labelled 44% of an established ependymal-cell population as heterotypic doublets, so the 58% NSC call supports but does not prove a doublet explanation. The deposit contains no empty-droplet matrix; doublets, ambient RNA, and incorrect label transfer therefore cannot be fully separated. After decontX correction (estimated global contamination fraction 0.019), we reclustered at three resolutions. Neuroblast-labelled nuclei joined oligodendrocyte-majority clusters, and immature-neuron-labelled nuclei joined granule-cell-majority clusters, at all three resolutions. NSC-labelled nuclei joined astrocyte-majority clusters at two resolutions but formed a separate low-purity cluster (purity 0.51) at the third. Thus, reclustering corroborated two of the three reassignments but did not independently resolve the NSC-labelled population.</w:t>
      </w:r>
    </w:p>
    <w:p>
      <w:pPr>
        <w:pStyle w:val="Normal"/>
        <w:ind w:firstLine="840"/>
        <w:rPr>
          <w:color w:themeColor="text1" w:val="000000"/>
          <w:sz w:val="22"/>
          <w:szCs w:val="22"/>
        </w:rPr>
      </w:pPr>
      <w:r>
        <w:rPr>
          <w:color w:themeColor="text1" w:val="000000"/>
          <w:sz w:val="22"/>
          <w:szCs w:val="22"/>
        </w:rPr>
        <w:t xml:space="preserve">Canonical markers supported these assignments. SOX2 expression in the NSC-labelled cluster was lower than in astrocytes (0.95 versus 1.53 counts per 10,000), MKI67 and TOP2A were absent, PLP1 reached 52% of the mature-oligodendrocyte level, and SLC1A2 reached 51% of the astrocyte level. PLP1 in the neuroblast-labelled cluster reached 99% of the mature-oligodendrocyte level. The immature-labelled cluster expressed SNAP25 at a higher level than mature granule cells and had the highest median UMI count of any deposited cell type. We therefore refer to these three populations only by their depositor-assigned labels, and no conclusion about a neurogenic lineage depends on them.</w:t>
      </w:r>
    </w:p>
    <w:p>
      <w:pPr>
        <w:pStyle w:val="Heading2"/>
        <w:rPr>
          <w:color w:themeColor="text1" w:val="000000"/>
          <w:sz w:val="22"/>
          <w:szCs w:val="22"/>
        </w:rPr>
      </w:pPr>
      <w:r>
        <w:rPr>
          <w:color w:themeColor="text1" w:val="000000"/>
          <w:sz w:val="22"/>
          <w:szCs w:val="22"/>
        </w:rPr>
        <w:t xml:space="preserve">Quality control and retained nuclei</w:t>
      </w:r>
    </w:p>
    <w:p>
      <w:pPr>
        <w:pStyle w:val="Normal"/>
        <w:rPr>
          <w:color w:themeColor="text1" w:val="000000"/>
          <w:sz w:val="22"/>
          <w:szCs w:val="22"/>
        </w:rPr>
      </w:pPr>
      <w:r>
        <w:rPr>
          <w:color w:themeColor="text1" w:val="000000"/>
          <w:sz w:val="22"/>
          <w:szCs w:val="22"/>
        </w:rPr>
        <w:t xml:space="preserve">We analysed the depositors’ filtered matrices rather than applying a new primary filter. Of 366,175 deposited barcodes, 153,530 nuclei (41.9%) were present in the analysis matrix. Sample-level retention ranged from 3.8% to 63.0%; one YA sample (orig.ident 32) contributed 752 of 20,000 barcodes. The filtering criteria were available only in the GEO SOFT description: nuclei were excluded if they had mitochondrial reads &gt;10%, &lt;1,000 detected genes, &lt;2,000 unique molecular identifiers, &lt;200 peaks, or &lt;500 ATAC counts. Mean retention did not differ significantly between YA and HA donors (0.384 versus 0.465; Mann–Whitney </w:t>
      </w:r>
      <w:r>
        <w:rPr>
          <w:i/>
          <w:iCs/>
          <w:color w:themeColor="text1" w:val="000000"/>
          <w:sz w:val="22"/>
          <w:szCs w:val="22"/>
        </w:rPr>
        <w:t xml:space="preserve">P</w:t>
      </w:r>
      <w:r>
        <w:rPr>
          <w:color w:themeColor="text1" w:val="000000"/>
          <w:sz w:val="22"/>
          <w:szCs w:val="22"/>
        </w:rPr>
        <w:t xml:space="preserve"> = 0.481; Welch’s t-test </w:t>
      </w:r>
      <w:r>
        <w:rPr>
          <w:i/>
          <w:iCs/>
          <w:color w:themeColor="text1" w:val="000000"/>
          <w:sz w:val="22"/>
          <w:szCs w:val="22"/>
        </w:rPr>
        <w:t xml:space="preserve">P</w:t>
      </w:r>
      <w:r>
        <w:rPr>
          <w:color w:themeColor="text1" w:val="000000"/>
          <w:sz w:val="22"/>
          <w:szCs w:val="22"/>
        </w:rPr>
        <w:t xml:space="preserve"> = 0.219), although the </w:t>
      </w:r>
      <w:r>
        <w:rPr>
          <w:i/>
          <w:color w:themeColor="text1" w:val="000000"/>
          <w:sz w:val="22"/>
          <w:szCs w:val="22"/>
        </w:rPr>
        <w:t xml:space="preserve">n</w:t>
      </w:r>
      <w:r>
        <w:rPr>
          <w:color w:themeColor="text1" w:val="000000"/>
          <w:sz w:val="22"/>
          <w:szCs w:val="22"/>
        </w:rPr>
        <w:t xml:space="preserve"> = 8/9 comparison was underpowered and sample-to-sample variation was substantial. Fig. S1 presents cell-type-specific quality-control distributions without age-group stratification.</w:t>
      </w:r>
    </w:p>
    <w:p>
      <w:pPr>
        <w:pStyle w:val="Normal"/>
        <w:ind w:firstLine="840"/>
        <w:rPr>
          <w:color w:themeColor="text1" w:val="000000"/>
          <w:sz w:val="22"/>
          <w:szCs w:val="22"/>
        </w:rPr>
      </w:pPr>
      <w:r>
        <w:rPr>
          <w:color w:themeColor="text1" w:val="000000"/>
          <w:sz w:val="22"/>
          <w:szCs w:val="22"/>
        </w:rPr>
        <w:t xml:space="preserve">Doublet calls were present in the deposit but were not used for upstream filtering, and ambient RNA had not been corrected. We treated both issues as sensitivity analyses. Re-estimating the primary contrast after decontX correction (celda 1.26.0) preserved the direction of every predefined pair that remained testable (57/57) and retained adjusted </w:t>
      </w:r>
      <w:r>
        <w:rPr>
          <w:i/>
          <w:iCs/>
          <w:color w:themeColor="text1" w:val="000000"/>
          <w:sz w:val="22"/>
          <w:szCs w:val="22"/>
        </w:rPr>
        <w:t xml:space="preserve">P</w:t>
      </w:r>
      <w:r>
        <w:rPr>
          <w:color w:themeColor="text1" w:val="000000"/>
          <w:sz w:val="22"/>
          <w:szCs w:val="22"/>
        </w:rPr>
        <w:t xml:space="preserve"> &lt; 0.1 for 47 of the original 60: 21/26 astrocyte, 10/11 vascular, 9/12 microglial, 4/5 oligodendrocyte, and 3/6 OPC pairs.</w:t>
      </w:r>
    </w:p>
    <w:p>
      <w:pPr>
        <w:pStyle w:val="Heading2"/>
        <w:rPr>
          <w:color w:themeColor="text1" w:val="000000"/>
          <w:sz w:val="22"/>
          <w:szCs w:val="22"/>
        </w:rPr>
      </w:pPr>
      <w:r>
        <w:rPr>
          <w:color w:themeColor="text1" w:val="000000"/>
          <w:sz w:val="22"/>
          <w:szCs w:val="22"/>
        </w:rPr>
        <w:t xml:space="preserve">Donor-level differential expression</w:t>
      </w:r>
    </w:p>
    <w:p>
      <w:pPr>
        <w:pStyle w:val="Normal"/>
        <w:rPr>
          <w:color w:themeColor="text1" w:val="000000"/>
          <w:sz w:val="22"/>
          <w:szCs w:val="22"/>
        </w:rPr>
      </w:pPr>
      <w:r>
        <w:rPr>
          <w:color w:themeColor="text1" w:val="000000"/>
          <w:sz w:val="22"/>
          <w:szCs w:val="22"/>
        </w:rPr>
        <w:t xml:space="preserve">Counts were aggregated to donor pseudobulk within each niche cell type and tested with pyDESeq2 0.5.4 [26] using the design ~group. A donor contributed only if at least 10 nuclei were available, and each comparison required at least four donors per group. Benjamini–Hochberg correction was applied separately within each cell type. The 99,544 tests across the five niche classes therefore form five families, not one. If all five classes are instead treated as one genome-wide family, 49 of the reported 60 pairs remain and 4 new pairs enter. Because the predefined 60-pair set seeded the downstream accessibility, methylation, reproduction, receptor, and neuronal analyses, both multiple-testing scopes are reported rather than silently replacing the original set.</w:t>
      </w:r>
    </w:p>
    <w:p>
      <w:pPr>
        <w:pStyle w:val="Normal"/>
        <w:ind w:firstLine="840"/>
        <w:rPr>
          <w:color w:themeColor="text1" w:val="000000"/>
          <w:sz w:val="22"/>
          <w:szCs w:val="22"/>
        </w:rPr>
      </w:pPr>
      <w:r>
        <w:rPr>
          <w:color w:themeColor="text1" w:val="000000"/>
          <w:sz w:val="22"/>
          <w:szCs w:val="22"/>
        </w:rPr>
        <w:t xml:space="preserve">The cohort contains 8 YA and 9 HA donors, but the effective sample size varies by cell type. The 10-nucleus threshold excluded one YA donor from the microglial analysis (donor 32, 5 nuclei) and another from the vascular analysis (donor 38, 8 nuclei), making those comparisons 7 versus 9; the other three niche classes remained 8 versus 9. The remaining deposited groups were MCI (</w:t>
      </w:r>
      <w:r>
        <w:rPr>
          <w:i/>
          <w:color w:themeColor="text1" w:val="000000"/>
          <w:sz w:val="22"/>
          <w:szCs w:val="22"/>
        </w:rPr>
        <w:t xml:space="preserve">n</w:t>
      </w:r>
      <w:r>
        <w:rPr>
          <w:color w:themeColor="text1" w:val="000000"/>
          <w:sz w:val="22"/>
          <w:szCs w:val="22"/>
        </w:rPr>
        <w:t xml:space="preserve"> = 6), AD (</w:t>
      </w:r>
      <w:r>
        <w:rPr>
          <w:i/>
          <w:color w:themeColor="text1" w:val="000000"/>
          <w:sz w:val="22"/>
          <w:szCs w:val="22"/>
        </w:rPr>
        <w:t xml:space="preserve">n</w:t>
      </w:r>
      <w:r>
        <w:rPr>
          <w:color w:themeColor="text1" w:val="000000"/>
          <w:sz w:val="22"/>
          <w:szCs w:val="22"/>
        </w:rPr>
        <w:t xml:space="preserve"> = 10), and SA (</w:t>
      </w:r>
      <w:r>
        <w:rPr>
          <w:i/>
          <w:color w:themeColor="text1" w:val="000000"/>
          <w:sz w:val="22"/>
          <w:szCs w:val="22"/>
        </w:rPr>
        <w:t xml:space="preserve">n</w:t>
      </w:r>
      <w:r>
        <w:rPr>
          <w:color w:themeColor="text1" w:val="000000"/>
          <w:sz w:val="22"/>
          <w:szCs w:val="22"/>
        </w:rPr>
        <w:t xml:space="preserve"> = 6). The source study defines SuperAgers as people aged at least 80 years whose delayed-recall performance meets or exceeds norms for people in their fifties and sixties [17]. They therefore represent a cognitive-resilience phenotype, not a disease stage; the SA donors in this deposit were aged 86–100 years. Because the primary contrast directly compared young and old groups, age was not included as a covariate.</w:t>
      </w:r>
    </w:p>
    <w:p>
      <w:pPr>
        <w:pStyle w:val="Normal"/>
        <w:ind w:firstLine="840"/>
        <w:rPr>
          <w:color w:themeColor="text1" w:val="000000"/>
          <w:sz w:val="22"/>
          <w:szCs w:val="22"/>
        </w:rPr>
      </w:pPr>
      <w:r>
        <w:rPr>
          <w:color w:themeColor="text1" w:val="000000"/>
          <w:sz w:val="22"/>
          <w:szCs w:val="22"/>
        </w:rPr>
        <w:t xml:space="preserve">Sex was not annotated in the GSE268609 deposit, but we inferred it from donor-level XIST expression relative to eight chromosome-Y genes. The same procedure agreed with recorded sex for all 40 GSE278576 donors. The inferred primary-cohort distribution was 2 female and 6 male YA donors versus 5 female and 4 male HA donors. Robustness analyses included models adjusted for post-mortem interval (~pmi + group) or preparation arm (~arm + group, whole hippocampus versus dentate-gyrus microdissection, reconstructed from orig.ident), joint models (~arm + pmi + group and ~sex + arm + pmi + group), and leave-one-donor-out refits. Single-nucleus processing used scanpy 1.11.5 [27].</w:t>
      </w:r>
    </w:p>
    <w:p>
      <w:pPr>
        <w:pStyle w:val="Heading2"/>
        <w:rPr>
          <w:color w:themeColor="text1" w:val="000000"/>
          <w:sz w:val="22"/>
          <w:szCs w:val="22"/>
        </w:rPr>
      </w:pPr>
      <w:r>
        <w:rPr>
          <w:color w:themeColor="text1" w:val="000000"/>
          <w:sz w:val="22"/>
          <w:szCs w:val="22"/>
        </w:rPr>
        <w:t xml:space="preserve">External transcriptomic reproduction</w:t>
      </w:r>
    </w:p>
    <w:p>
      <w:pPr>
        <w:pStyle w:val="Normal"/>
        <w:rPr>
          <w:color w:themeColor="text1" w:val="000000"/>
          <w:sz w:val="22"/>
          <w:szCs w:val="22"/>
        </w:rPr>
      </w:pPr>
      <w:r>
        <w:rPr>
          <w:color w:themeColor="text1" w:val="000000"/>
          <w:sz w:val="22"/>
          <w:szCs w:val="22"/>
        </w:rPr>
        <w:t xml:space="preserve">Before testing external cohorts, we fixed two outputs from the primary analysis: the 60 significant secretome gene–cell-type pairs and the complete vector of secretome log2 fold changes within each cell type. In GSE278576, we compared 20 HA donors aged at least 60 years with 10 YA donors younger than 40 years using the same donor-pseudobulk pyDESeq2 workflow; the 10 middle-aged donors did not enter this categorical contrast. Sensitivity models adjusted for sex (~sex + group) or treated age as continuous (~age).</w:t>
      </w:r>
    </w:p>
    <w:p>
      <w:pPr>
        <w:pStyle w:val="Normal"/>
        <w:ind w:firstLine="840"/>
        <w:rPr>
          <w:color w:themeColor="text1" w:val="000000"/>
          <w:sz w:val="22"/>
          <w:szCs w:val="22"/>
        </w:rPr>
      </w:pPr>
      <w:r>
        <w:rPr>
          <w:color w:themeColor="text1" w:val="000000"/>
          <w:sz w:val="22"/>
          <w:szCs w:val="22"/>
        </w:rPr>
        <w:t xml:space="preserve">Three reproduction metrics were specified in advance. First, a one-sided Mann–Whitney test asked whether genes classified as aging-UP in the primary cohort had larger external effects than genes classified as aging-DOWN. Second, we calculated the Spearman correlation between primary and external log2 fold changes across shared secretome genes. Third, we measured sign concordance among evaluable predefined pairs and compared it with the external cohort’s own secretome background by binomial and Fisher’s exact tests, rather than assuming a 50% background. These are gene- or signature-level summaries of donor-pseudobulk effect sizes, not donor-level tests. Each metric was also evaluated against a 2,000-permutation null. The criterion for overall reproduction was fixed before external differential expression was calculated: at least two of the three metrics had to pass in at least one genuine external cohort.</w:t>
      </w:r>
    </w:p>
    <w:p>
      <w:pPr>
        <w:pStyle w:val="Normal"/>
        <w:ind w:firstLine="840"/>
        <w:rPr>
          <w:color w:themeColor="text1" w:val="000000"/>
          <w:sz w:val="22"/>
          <w:szCs w:val="22"/>
        </w:rPr>
      </w:pPr>
      <w:r>
        <w:rPr>
          <w:color w:themeColor="text1" w:val="000000"/>
          <w:sz w:val="22"/>
          <w:szCs w:val="22"/>
        </w:rPr>
        <w:t xml:space="preserve">Because genes selected for significance tend to have larger effects, we separately asked whether reproduction was specific to the predefined pairs. Within each cell type, each pair was compared with genes matched on absolute primary-cohort log2 fold change and expression. We used 20,000 matched draws (seed 42) and examined the sensitivity of the result to the number of nearest neighbours, from tight matching (k = 10) to progressively looser backgrounds.</w:t>
      </w:r>
    </w:p>
    <w:p>
      <w:pPr>
        <w:pStyle w:val="Heading2"/>
        <w:rPr>
          <w:color w:themeColor="text1" w:val="000000"/>
          <w:sz w:val="22"/>
          <w:szCs w:val="22"/>
        </w:rPr>
      </w:pPr>
      <w:r>
        <w:rPr>
          <w:color w:themeColor="text1" w:val="000000"/>
          <w:sz w:val="22"/>
          <w:szCs w:val="22"/>
        </w:rPr>
        <w:t xml:space="preserve">Chromatin accessibility</w:t>
      </w:r>
    </w:p>
    <w:p>
      <w:pPr>
        <w:pStyle w:val="Normal"/>
        <w:rPr>
          <w:color w:themeColor="text1" w:val="000000"/>
          <w:sz w:val="22"/>
          <w:szCs w:val="22"/>
        </w:rPr>
      </w:pPr>
      <w:r>
        <w:rPr>
          <w:color w:themeColor="text1" w:val="000000"/>
          <w:sz w:val="22"/>
          <w:szCs w:val="22"/>
        </w:rPr>
        <w:t xml:space="preserve">The GSE268609 deposit contains two non-overlapping peak sets: 141,330 CellRanger-ARC peaks in the RNA-associated features.tsv.gz file and 369,393 re-called peaks in GSE268609_recall_peaks.bed.gz. All analyses reported here used the 369,393 re-called peaks in their deposited order. We verified row correspondence against the fragment file on chromosome 1: across 31,745 peaks, fragment recounts and matrix row sums correlated at Spearman ρ = 0.985, whereas the 95th percentile of a row-shuffled null was 0.010. This establishes row order, not exact count identity, because the fragment file includes all 366,175 deposited barcodes while the matrix contains the 153,530 retained nuclei.</w:t>
      </w:r>
    </w:p>
    <w:p>
      <w:pPr>
        <w:pStyle w:val="Normal"/>
        <w:ind w:firstLine="840"/>
        <w:rPr>
          <w:color w:themeColor="text1" w:val="000000"/>
          <w:sz w:val="22"/>
          <w:szCs w:val="22"/>
        </w:rPr>
      </w:pPr>
      <w:r>
        <w:rPr>
          <w:color w:themeColor="text1" w:val="000000"/>
          <w:sz w:val="22"/>
          <w:szCs w:val="22"/>
        </w:rPr>
        <w:t xml:space="preserve">Peaks were assigned to genes by proximity, defined as the gene body plus 2 kb on either side. For each donor and cell type, linked-peak counts were aggregated and normalised to counts per million using total fragments in peaks. Accessibility was compared between HA and YA donors. We tested RNA–ATAC sign concordance against the observed background (Fisher’s exact test for RNA-significant versus non-significant genes and a binomial test against the 57.6% background), not against 50%. Benjamini–Hochberg correction was performed both genome-wide across 369,393 peaks and within the RNA-significant family.</w:t>
      </w:r>
    </w:p>
    <w:p>
      <w:pPr>
        <w:pStyle w:val="Normal"/>
        <w:ind w:firstLine="840"/>
        <w:rPr>
          <w:color w:themeColor="text1" w:val="000000"/>
          <w:sz w:val="22"/>
          <w:szCs w:val="22"/>
        </w:rPr>
      </w:pPr>
      <w:r>
        <w:rPr>
          <w:color w:themeColor="text1" w:val="000000"/>
          <w:sz w:val="22"/>
          <w:szCs w:val="22"/>
        </w:rPr>
        <w:t xml:space="preserve">For enrichment analysis, each secretome-linked peak was oriented by the direction of change in its linked RNA and compared with non-secretome peaks matched on GC content, peak width, mean accessibility, and distance to the transcription start site. Matching used a KDTree with 2,000 permutations and a sign-permutation negative control. Because genes contribute unequal numbers of correlated peaks, the governing robustness test collapsed the signal to the gene level and used a gene-matched null, gene-level sign permutation, and leave-one-gene-out analysis. We also ran an end-to-end donor-label permutation that repeated RNA selection and the accessibility test, and assessed proximity links by within-cell-type co-accessibility against a matched background-peak null.</w:t>
      </w:r>
    </w:p>
    <w:p>
      <w:pPr>
        <w:pStyle w:val="Normal"/>
        <w:ind w:firstLine="840"/>
        <w:rPr>
          <w:color w:themeColor="text1" w:val="000000"/>
          <w:sz w:val="22"/>
          <w:szCs w:val="22"/>
        </w:rPr>
      </w:pPr>
      <w:r>
        <w:rPr>
          <w:color w:themeColor="text1" w:val="000000"/>
          <w:sz w:val="22"/>
          <w:szCs w:val="22"/>
        </w:rPr>
        <w:t xml:space="preserve">ATAC quality metrics were recalculated for each donor×cell-type unit (</w:t>
      </w:r>
      <w:r>
        <w:rPr>
          <w:i/>
          <w:color w:themeColor="text1" w:val="000000"/>
          <w:sz w:val="22"/>
          <w:szCs w:val="22"/>
        </w:rPr>
        <w:t xml:space="preserve">n</w:t>
      </w:r>
      <w:r>
        <w:rPr>
          <w:color w:themeColor="text1" w:val="000000"/>
          <w:sz w:val="22"/>
          <w:szCs w:val="22"/>
        </w:rPr>
        <w:t xml:space="preserve"> = 85) from the deposited fragment file. The median fraction of reads in peaks was 0.393 (range 0.200–0.569), the transcription-start-site fraction was 0.174 (0.070–0.258), the nucleosome signal was 0.674 (0.383–0.954), and the blacklist ratio was 0.0016 (0.0005–0.0054). No donor was excluded on these measures. Peak GC content was computed with BSgenome.Hsapiens.UCSC.hg38. Motif deviations were calculated with chromVAR [28] and Signac [29] using JASPAR2020 motifs [30] on hg38.</w:t>
      </w:r>
    </w:p>
    <w:p>
      <w:pPr>
        <w:pStyle w:val="Heading2"/>
        <w:rPr>
          <w:color w:themeColor="text1" w:val="000000"/>
          <w:sz w:val="22"/>
          <w:szCs w:val="22"/>
        </w:rPr>
      </w:pPr>
      <w:r>
        <w:rPr>
          <w:color w:themeColor="text1" w:val="000000"/>
          <w:sz w:val="22"/>
          <w:szCs w:val="22"/>
        </w:rPr>
        <w:t xml:space="preserve">DNA methylation</w:t>
      </w:r>
    </w:p>
    <w:p>
      <w:pPr>
        <w:pStyle w:val="Normal"/>
        <w:rPr>
          <w:color w:themeColor="text1" w:val="000000"/>
          <w:sz w:val="22"/>
          <w:szCs w:val="22"/>
        </w:rPr>
      </w:pPr>
      <w:r>
        <w:rPr>
          <w:color w:themeColor="text1" w:val="000000"/>
          <w:sz w:val="22"/>
          <w:szCs w:val="22"/>
        </w:rPr>
        <w:t xml:space="preserve">We used the GSE299139 snm3C data to ask whether regulatory regions linked to secretome genes changed in CpG methylation (mCG) with age. Analyses covered astrocytes, microglia, OPCs, and oligodendrocytes; endothelium was too sparse. Within each donor×cell-type unit, methylated and total CG-context base calls were summed over promoters (±1 kb), gene bodies, and proximity-linked peaks. A region required at least 20 CpG base calls per donor.</w:t>
      </w:r>
    </w:p>
    <w:p>
      <w:pPr>
        <w:pStyle w:val="Normal"/>
        <w:ind w:firstLine="840"/>
        <w:rPr>
          <w:color w:themeColor="text1" w:val="000000"/>
          <w:sz w:val="22"/>
          <w:szCs w:val="22"/>
        </w:rPr>
      </w:pPr>
      <w:r>
        <w:rPr>
          <w:color w:themeColor="text1" w:val="000000"/>
          <w:sz w:val="22"/>
          <w:szCs w:val="22"/>
        </w:rPr>
        <w:t xml:space="preserve">The test compared secretome regions with non-secretome regions matched on GC content, CpG density, length, distance to the transcription start site, and baseline mCG. Regions were oriented by the direction of the corresponding RNA change. We used 2,000 matched permutations and a sign-permutation control, then collapsed correlated regions to genes for the governing gene-level test. Because donor coverage declined with age in three of the four cell types tested (Spearman ρ = −0.632 for OPCs, −0.573 for astrocytes and −0.557 for microglia, but only −0.145 for oligodendrocytes), the pre-specified primary model was mCG ~ age + sex + log(coverage) for each region. An unadjusted comparison of donors younger than 40 years (</w:t>
      </w:r>
      <w:r>
        <w:rPr>
          <w:i/>
          <w:color w:themeColor="text1" w:val="000000"/>
          <w:sz w:val="22"/>
          <w:szCs w:val="22"/>
        </w:rPr>
        <w:t xml:space="preserve">n</w:t>
      </w:r>
      <w:r>
        <w:rPr>
          <w:color w:themeColor="text1" w:val="000000"/>
          <w:sz w:val="22"/>
          <w:szCs w:val="22"/>
        </w:rPr>
        <w:t xml:space="preserve"> = 10) with donors aged at least 60 years (</w:t>
      </w:r>
      <w:r>
        <w:rPr>
          <w:i/>
          <w:color w:themeColor="text1" w:val="000000"/>
          <w:sz w:val="22"/>
          <w:szCs w:val="22"/>
        </w:rPr>
        <w:t xml:space="preserve">n</w:t>
      </w:r>
      <w:r>
        <w:rPr>
          <w:color w:themeColor="text1" w:val="000000"/>
          <w:sz w:val="22"/>
          <w:szCs w:val="22"/>
        </w:rPr>
        <w:t xml:space="preserve"> = 20) was retained as a reference. Microglia were re-analysed within the cell substate present in all 40 donors.</w:t>
      </w:r>
    </w:p>
    <w:p>
      <w:pPr>
        <w:pStyle w:val="Normal"/>
        <w:ind w:firstLine="840"/>
        <w:rPr>
          <w:color w:themeColor="text1" w:val="000000"/>
          <w:sz w:val="22"/>
          <w:szCs w:val="22"/>
        </w:rPr>
      </w:pPr>
      <w:r>
        <w:rPr>
          <w:color w:themeColor="text1" w:val="000000"/>
          <w:sz w:val="22"/>
          <w:szCs w:val="22"/>
        </w:rPr>
        <w:t xml:space="preserve">Four additional controls were used to evaluate specificity. First, astrocytes were analysed separately as Astro1 and Astro2, and the effect expected from their changing composition was calculated. Second, the same methylation data were oriented in turn by the RNA direction from each of the five cell types. Third, RNA-significant non-secretome genes were tested at the same adjusted-</w:t>
      </w:r>
      <w:r>
        <w:rPr>
          <w:i/>
          <w:iCs/>
          <w:color w:themeColor="text1" w:val="000000"/>
          <w:sz w:val="22"/>
          <w:szCs w:val="22"/>
        </w:rPr>
        <w:t xml:space="preserve">P</w:t>
      </w:r>
      <w:r>
        <w:rPr>
          <w:color w:themeColor="text1" w:val="000000"/>
          <w:sz w:val="22"/>
          <w:szCs w:val="22"/>
        </w:rPr>
        <w:t xml:space="preserve"> threshold as the secretome foreground. Fourth, the matched cell-type diagonal was compared with 10,000 random permutations of the orientation grid. Cross-modal mCG–RNA and mCG–ATAC comparisons describe cross-cohort effect-size concordance; they are not donor-paired correlations. We analysed mCG, not the neuronal mark mCH.</w:t>
      </w:r>
    </w:p>
    <w:p>
      <w:pPr>
        <w:pStyle w:val="Heading2"/>
        <w:rPr>
          <w:color w:themeColor="text1" w:val="000000"/>
          <w:sz w:val="22"/>
          <w:szCs w:val="22"/>
        </w:rPr>
      </w:pPr>
      <w:r>
        <w:rPr>
          <w:color w:themeColor="text1" w:val="000000"/>
          <w:sz w:val="22"/>
          <w:szCs w:val="22"/>
        </w:rPr>
        <w:t xml:space="preserve">Candidate regulatory mechanisms</w:t>
      </w:r>
    </w:p>
    <w:p>
      <w:pPr>
        <w:pStyle w:val="Normal"/>
        <w:rPr>
          <w:color w:themeColor="text1" w:val="000000"/>
          <w:sz w:val="22"/>
          <w:szCs w:val="22"/>
        </w:rPr>
      </w:pPr>
      <w:r>
        <w:rPr>
          <w:color w:themeColor="text1" w:val="000000"/>
          <w:sz w:val="22"/>
          <w:szCs w:val="22"/>
        </w:rPr>
        <w:t xml:space="preserve">Before analysis, we specified the hypothesis that an inflammatory or senescence-associated transcription-factor program drives the aging-UP component, whereas a homeostatic ETS or Wnt/TCF program underlies the aging-DOWN component. We tested enrichment of NF-κB, C/EBP, STAT, and IRF motifs in the UP component and ETS and Wnt/TCF motifs in the DOWN component against a GC- and width-matched peak background. Donor-level footprinting measured the log2 flank-to-centre ratio at all genomic motif sites; comparing the same sites between HA and YA donors minimises fixed Tn5 sequence bias. NicheNet v2 [31] was used to rank candidate autocrine ligands against a 2,000-gene-set permutation null, followed by ligand–receptor validation.</w:t>
      </w:r>
    </w:p>
    <w:p>
      <w:pPr>
        <w:pStyle w:val="Normal"/>
        <w:ind w:firstLine="840"/>
        <w:rPr>
          <w:color w:themeColor="text1" w:val="000000"/>
          <w:sz w:val="22"/>
          <w:szCs w:val="22"/>
        </w:rPr>
      </w:pPr>
      <w:r>
        <w:rPr>
          <w:color w:themeColor="text1" w:val="000000"/>
          <w:sz w:val="22"/>
          <w:szCs w:val="22"/>
        </w:rPr>
        <w:t xml:space="preserve">A separately registered analysis tested whether transcription of each cognate factor followed the direction of its chromVAR motif change. The foreground comprised motif×TF×cell-type combinations with nominal chromVAR </w:t>
      </w:r>
      <w:r>
        <w:rPr>
          <w:i/>
          <w:iCs/>
          <w:color w:themeColor="text1" w:val="000000"/>
          <w:sz w:val="22"/>
          <w:szCs w:val="22"/>
        </w:rPr>
        <w:t xml:space="preserve">P</w:t>
      </w:r>
      <w:r>
        <w:rPr>
          <w:color w:themeColor="text1" w:val="000000"/>
          <w:sz w:val="22"/>
          <w:szCs w:val="22"/>
        </w:rPr>
        <w:t xml:space="preserve"> &lt; 0.05. Sign concordance was scored independently of RNA significance and compared with an empirical background matched on cell type, direction, and expression (10,000 stratified permutations; seed 42). AD-versus-HA trajectories and RNA directions in GSE278576 were used only as descriptive robustness checks, not as replications of the cross-modal test.</w:t>
      </w:r>
    </w:p>
    <w:p>
      <w:pPr>
        <w:pStyle w:val="Heading2"/>
        <w:rPr>
          <w:color w:themeColor="text1" w:val="000000"/>
          <w:sz w:val="22"/>
          <w:szCs w:val="22"/>
        </w:rPr>
      </w:pPr>
      <w:r>
        <w:rPr>
          <w:color w:themeColor="text1" w:val="000000"/>
          <w:sz w:val="22"/>
          <w:szCs w:val="22"/>
        </w:rPr>
        <w:t xml:space="preserve">Senescence and proteome comparisons</w:t>
      </w:r>
    </w:p>
    <w:p>
      <w:pPr>
        <w:pStyle w:val="Normal"/>
        <w:rPr>
          <w:color w:themeColor="text1" w:val="000000"/>
          <w:sz w:val="22"/>
          <w:szCs w:val="22"/>
        </w:rPr>
      </w:pPr>
      <w:r>
        <w:rPr>
          <w:color w:themeColor="text1" w:val="000000"/>
          <w:sz w:val="22"/>
          <w:szCs w:val="22"/>
        </w:rPr>
        <w:t xml:space="preserve">We compared the niche aging effects with four independent references. For the transcriptomic SenMayo set [13] and the SASP Atlas [14], the primary test was a one-sided Mann–Whitney comparison of log2 fold changes for set members versus other genes within the secretome universe. Fisher over-representation was descriptive because it depends strongly on the selected background. For the human brain proteome [15] and CSF aging proteome [16], we compared the external cognitive-trajectory coefficient or CSF age estimate among aging-UP, aging-DOWN, and background proteins. Analyses used both the predefined adjusted-</w:t>
      </w:r>
      <w:r>
        <w:rPr>
          <w:i/>
          <w:iCs/>
          <w:color w:themeColor="text1" w:val="000000"/>
          <w:sz w:val="22"/>
          <w:szCs w:val="22"/>
        </w:rPr>
        <w:t xml:space="preserve">P</w:t>
      </w:r>
      <w:r>
        <w:rPr>
          <w:color w:themeColor="text1" w:val="000000"/>
          <w:sz w:val="22"/>
          <w:szCs w:val="22"/>
        </w:rPr>
        <w:t xml:space="preserve"> &lt; 0.1 signature and an extended adjusted-</w:t>
      </w:r>
      <w:r>
        <w:rPr>
          <w:i/>
          <w:iCs/>
          <w:color w:themeColor="text1" w:val="000000"/>
          <w:sz w:val="22"/>
          <w:szCs w:val="22"/>
        </w:rPr>
        <w:t xml:space="preserve">P</w:t>
      </w:r>
      <w:r>
        <w:rPr>
          <w:color w:themeColor="text1" w:val="000000"/>
          <w:sz w:val="22"/>
          <w:szCs w:val="22"/>
        </w:rPr>
        <w:t xml:space="preserve"> &lt; 0.2 set.</w:t>
      </w:r>
    </w:p>
    <w:p>
      <w:pPr>
        <w:pStyle w:val="Normal"/>
        <w:ind w:firstLine="840"/>
        <w:rPr>
          <w:color w:themeColor="text1" w:val="000000"/>
          <w:sz w:val="22"/>
          <w:szCs w:val="22"/>
        </w:rPr>
      </w:pPr>
      <w:r>
        <w:rPr>
          <w:color w:themeColor="text1" w:val="000000"/>
          <w:sz w:val="22"/>
          <w:szCs w:val="22"/>
        </w:rPr>
        <w:t xml:space="preserve">The phrase “protein-level support” is used narrowly. The SASP Atlas measures conditioned medium from cultured human IMR-90 fibroblasts and renal epithelial cells, not brain tissue. The brain proteome comes from dorsolateral prefrontal cortex, not hippocampus, and the CSF proteome represents a fluid compartment. None directly measures proteins secreted within the human hippocampal niche. They show that the nominated genes behave as secreted proteins in related systems; they do not directly quantify niche secretion.</w:t>
      </w:r>
    </w:p>
    <w:p>
      <w:pPr>
        <w:pStyle w:val="Heading2"/>
        <w:rPr>
          <w:color w:themeColor="text1" w:val="000000"/>
          <w:sz w:val="22"/>
          <w:szCs w:val="22"/>
        </w:rPr>
      </w:pPr>
      <w:r>
        <w:rPr>
          <w:color w:themeColor="text1" w:val="000000"/>
          <w:sz w:val="22"/>
          <w:szCs w:val="22"/>
        </w:rPr>
        <w:t xml:space="preserve">Spatial and neuronal specificity analyses</w:t>
      </w:r>
    </w:p>
    <w:p>
      <w:pPr>
        <w:pStyle w:val="Normal"/>
        <w:rPr>
          <w:color w:themeColor="text1" w:val="000000"/>
          <w:sz w:val="22"/>
          <w:szCs w:val="22"/>
        </w:rPr>
      </w:pPr>
      <w:r>
        <w:rPr>
          <w:color w:themeColor="text1" w:val="000000"/>
          <w:sz w:val="22"/>
          <w:szCs w:val="22"/>
        </w:rPr>
        <w:t xml:space="preserve">Spatial localisation was tested in GSE264692 [21] by calculating, within each of 34 quality-controlled Visium capture areas, the spot-level Spearman correlation between each niche signature and the dentate-gyrus marker PROX1. To test whether the program was niche-enriched, we applied the same donor-pseudobulk framework to three mature-neuron classes from GSE268609: dentate granule cells, CA excitatory neurons, and inhibitory neurons. The model included preparation arm and age group (~arm + group). We compared secretome aging effects among niche and neuronal classes with pairwise Spearman correlations and a 2,000-gene-shuffle null. Frozen-hit concordance in each neuronal class was evaluated against that neuron’s own secretome background, and de novo neuronal secretome hits were counted. Neuron-intrinsic programs were explored with gseapy prerank [32], directional gene-set responses, and a 2,000-random-set null. Donor-level coupling between niche and neuronal programs and a NicheNet niche-to-neuron analysis of receptor expression, receptor age regulation, and ligand activity were descriptive. All analyses used seed 42.</w:t>
      </w:r>
    </w:p>
    <w:p>
      <w:pPr>
        <w:pStyle w:val="Heading2"/>
        <w:rPr>
          <w:color w:themeColor="text1" w:val="000000"/>
          <w:sz w:val="22"/>
          <w:szCs w:val="22"/>
        </w:rPr>
      </w:pPr>
      <w:r>
        <w:rPr>
          <w:color w:themeColor="text1" w:val="000000"/>
          <w:sz w:val="22"/>
          <w:szCs w:val="22"/>
        </w:rPr>
        <w:t xml:space="preserve">Receiver map, Alzheimer’s-disease projection, and resilience analysis</w:t>
      </w:r>
    </w:p>
    <w:p>
      <w:pPr>
        <w:pStyle w:val="Normal"/>
        <w:rPr>
          <w:color w:themeColor="text1" w:val="000000"/>
          <w:sz w:val="22"/>
          <w:szCs w:val="22"/>
        </w:rPr>
      </w:pPr>
      <w:r>
        <w:rPr>
          <w:color w:themeColor="text1" w:val="000000"/>
          <w:sz w:val="22"/>
          <w:szCs w:val="22"/>
        </w:rPr>
        <w:t xml:space="preserve">We pre-registered two related analyses that kept signature definition separate from testing. First, 22 aging-UP ligands in the NicheNet network were mapped to 76 cognate receptors. We asked whether those receptors increased with age above a baseMean-matched background in eight confirmatory receiver compartments: the five niche classes, treated here as potential receivers, and the three mature-neuron classes. The model was ~arm + group; the statistic was the mean signed receptor log2 fold change, oriented toward up-regulation; and the matched null used 2,000 permutations (seed 42). The three rare depositor-labelled NSC, neuroblast, and immature-neuron clusters were included as an exploratory family only. A pre-specified depth- and expression-matched test assessed whether limited receptor testability in the NSC-labelled cluster could be explained by low coverage.</w:t>
      </w:r>
    </w:p>
    <w:p>
      <w:pPr>
        <w:pStyle w:val="Normal"/>
        <w:ind w:firstLine="840"/>
        <w:rPr>
          <w:color w:themeColor="text1" w:val="000000"/>
          <w:sz w:val="22"/>
          <w:szCs w:val="22"/>
        </w:rPr>
      </w:pPr>
      <w:r>
        <w:rPr>
          <w:color w:themeColor="text1" w:val="000000"/>
          <w:sz w:val="22"/>
          <w:szCs w:val="22"/>
        </w:rPr>
        <w:t xml:space="preserve">Second, we projected the predefined 60-pair signature onto the AD group within GSE268609. For each cell type, one R DESeq2 model (~arm + group, with YA, HA, and AD levels) generated the three direct contrasts, which were shrunk with ashr. Each pair was classified by effect size as maintained, amplified, AD-attenuated, or AD-divergent after meeting a criterion that required the aging effect to recur. We examined nine threshold settings. This design compares cross-sectional donor groups; it does not represent within-person progression.</w:t>
      </w:r>
    </w:p>
    <w:p>
      <w:pPr>
        <w:pStyle w:val="Normal"/>
        <w:ind w:firstLine="840"/>
        <w:rPr>
          <w:color w:themeColor="text1" w:val="000000"/>
          <w:sz w:val="22"/>
          <w:szCs w:val="22"/>
        </w:rPr>
      </w:pPr>
      <w:r>
        <w:rPr>
          <w:color w:themeColor="text1" w:val="000000"/>
          <w:sz w:val="22"/>
          <w:szCs w:val="22"/>
        </w:rPr>
        <w:t xml:space="preserve">In GSE325391 [22], which profiles the subgranular-zone granule-cell lineage rather than glial senders, we constructed a predefined receptor-availability score from receptors for the aging-UP niche ligands that were detectable in control donors. A donor-level mixed model tested the stage-averaged difference between resilient and susceptible severe-AD donors, with predicted downstream-target enrichment as supporting evidence. This analysis addresses neuronal receiver competence, not glial secretome abundance. Trajectory analyses used R DESeq2 1.50.2 and ashr in the trajR environment.</w:t>
      </w:r>
    </w:p>
    <w:p>
      <w:pPr>
        <w:pStyle w:val="Heading2"/>
        <w:rPr>
          <w:color w:themeColor="text1" w:val="000000"/>
          <w:sz w:val="22"/>
          <w:szCs w:val="22"/>
        </w:rPr>
      </w:pPr>
      <w:r>
        <w:rPr>
          <w:color w:themeColor="text1" w:val="000000"/>
          <w:sz w:val="22"/>
          <w:szCs w:val="22"/>
        </w:rPr>
        <w:t xml:space="preserve">Statistical procedures</w:t>
      </w:r>
    </w:p>
    <w:p>
      <w:pPr>
        <w:pStyle w:val="Normal"/>
        <w:rPr>
          <w:color w:themeColor="text1" w:val="000000"/>
          <w:sz w:val="22"/>
          <w:szCs w:val="22"/>
        </w:rPr>
      </w:pPr>
      <w:r>
        <w:rPr>
          <w:color w:themeColor="text1" w:val="000000"/>
          <w:sz w:val="22"/>
          <w:szCs w:val="22"/>
        </w:rPr>
        <w:t xml:space="preserve">Analyses used pyDESeq2 0.5.4, scanpy 1.11.5, Python 3.11.15, and random seed 42, with donor-level statistics throughout. Exact </w:t>
      </w:r>
      <w:r>
        <w:rPr>
          <w:i/>
          <w:iCs/>
          <w:color w:themeColor="text1" w:val="000000"/>
          <w:sz w:val="22"/>
          <w:szCs w:val="22"/>
        </w:rPr>
        <w:t xml:space="preserve">P</w:t>
      </w:r>
      <w:r>
        <w:rPr>
          <w:color w:themeColor="text1" w:val="000000"/>
          <w:sz w:val="22"/>
          <w:szCs w:val="22"/>
        </w:rPr>
        <w:t xml:space="preserve">-values are reported.</w:t>
      </w:r>
    </w:p>
    <w:p>
      <w:pPr>
        <w:pStyle w:val="Heading2"/>
        <w:rPr>
          <w:color w:themeColor="text1" w:val="000000"/>
          <w:sz w:val="22"/>
          <w:szCs w:val="22"/>
        </w:rPr>
      </w:pPr>
      <w:r>
        <w:rPr>
          <w:color w:themeColor="text1" w:val="000000"/>
          <w:sz w:val="22"/>
          <w:szCs w:val="22"/>
        </w:rPr>
        <w:t xml:space="preserve">Reproducibility</w:t>
      </w:r>
    </w:p>
    <w:p>
      <w:pPr>
        <w:pStyle w:val="Normal"/>
        <w:rPr>
          <w:color w:themeColor="text1" w:val="000000"/>
          <w:sz w:val="22"/>
          <w:szCs w:val="22"/>
        </w:rPr>
      </w:pPr>
      <w:r>
        <w:rPr>
          <w:color w:themeColor="text1" w:val="000000"/>
          <w:sz w:val="22"/>
          <w:szCs w:val="22"/>
        </w:rPr>
        <w:t xml:space="preserve">Analysis code, the pre-specified analysis documents, the software environments, and the result tables underlying every number reported here are available in the project repository (Code availability). Environments are pinned in envs/, and analyses use random seed 42 unless stated otherwise. Workflow targets are separated into those that run from the committed result tables alone — the figures, the validation tests, the supplementary tables, and the multiple-testing-scope check — and those that additionally require the deposited matrices, so that a reader without the primary data can still regenerate every figure and validation table from a clone of the repository.</w:t>
      </w:r>
    </w:p>
    <w:p>
      <w:pPr>
        <w:pStyle w:val="Normal"/>
        <w:rPr>
          <w:color w:themeColor="text1" w:val="000000"/>
          <w:sz w:val="22"/>
          <w:szCs w:val="22"/>
        </w:rPr>
      </w:pPr>
      <w:r>
        <w:rPr>
          <w:color w:themeColor="text1" w:val="000000"/>
          <w:sz w:val="22"/>
          <w:szCs w:val="22"/>
        </w:rPr>
        <w:t xml:space="preserve">Three limits on that reproducibility are stated rather than implied. First, the script that exported count matrices from the deposited Seurat object was not retained, so the ingestion step — cell filtering, quality thresholds, and RNA–ATAC barcode matching — cannot be re-executed from the repository; the workflows can be repeated from the processed-matrix stage onward. Second, re-running the primary differential-expression target in the pinned environment returns 99,543 rows rather than the 99,544 of the table used here, because the low-count oligodendrocyte transcript LINC01238 (two counts in total, detected in 2 of 17 donors) falls below the current gene filter. All 60 predefined pairs are present in the regenerated table and all 60 retain adjusted </w:t>
      </w:r>
      <w:r>
        <w:rPr>
          <w:i/>
          <w:color w:themeColor="text1" w:val="000000"/>
          <w:sz w:val="22"/>
          <w:szCs w:val="22"/>
        </w:rPr>
        <w:t xml:space="preserve">P</w:t>
      </w:r>
      <w:r>
        <w:rPr>
          <w:color w:themeColor="text1" w:val="000000"/>
          <w:sz w:val="22"/>
          <w:szCs w:val="22"/>
        </w:rPr>
        <w:t xml:space="preserve"> &lt; 0.1; the largest absolute difference in log2 fold change across those 60 is 4.3×10</w:t>
      </w:r>
      <w:r>
        <w:rPr>
          <w:color w:themeColor="text1" w:val="000000"/>
          <w:sz w:val="22"/>
          <w:szCs w:val="22"/>
          <w:vertAlign w:val="superscript"/>
        </w:rPr>
        <w:t xml:space="preserve">−5</w:t>
      </w:r>
      <w:r>
        <w:rPr>
          <w:color w:themeColor="text1" w:val="000000"/>
          <w:sz w:val="22"/>
          <w:szCs w:val="22"/>
        </w:rPr>
        <w:t xml:space="preserve">. Table S1 reports the regenerated per-cell-type test counts and its oligodendrocyte entry is accordingly 22,844 rather than 22,845, so the five entries sum to 99,543. Third, the scripts that produced the donor-label permutation calibration of Table S1, the effect-size-matched reproduction background, and the external donor-label null were run in the pre-submission audit environment and are not part of the repository; their output tables and a provenance record for each are included, and every manuscript number drawn from them was recomputed from those tables.</w:t>
      </w:r>
    </w:p>
    <w:p>
      <w:pPr>
        <w:pStyle w:val="Heading1"/>
        <w:rPr>
          <w:color w:themeColor="text1" w:val="000000"/>
          <w:sz w:val="24"/>
          <w:szCs w:val="24"/>
        </w:rPr>
      </w:pPr>
      <w:r>
        <w:rPr>
          <w:color w:themeColor="text1" w:val="000000"/>
          <w:sz w:val="24"/>
          <w:szCs w:val="24"/>
        </w:rPr>
        <w:t xml:space="preserve">Results</w:t>
      </w:r>
    </w:p>
    <w:p>
      <w:pPr>
        <w:pStyle w:val="Heading2"/>
        <w:rPr>
          <w:color w:themeColor="text1" w:val="000000"/>
          <w:sz w:val="22"/>
          <w:szCs w:val="22"/>
        </w:rPr>
      </w:pPr>
      <w:r>
        <w:rPr>
          <w:color w:themeColor="text1" w:val="000000"/>
          <w:sz w:val="22"/>
          <w:szCs w:val="22"/>
        </w:rPr>
        <w:t xml:space="preserve">A human hippocampal multiome separates control aging from disease</w:t>
      </w:r>
    </w:p>
    <w:p>
      <w:pPr>
        <w:pStyle w:val="Normal"/>
        <w:rPr>
          <w:color w:themeColor="text1" w:val="000000"/>
          <w:sz w:val="22"/>
          <w:szCs w:val="22"/>
        </w:rPr>
      </w:pPr>
      <w:r>
        <w:rPr>
          <w:color w:themeColor="text1" w:val="000000"/>
          <w:sz w:val="22"/>
          <w:szCs w:val="22"/>
        </w:rPr>
        <w:t xml:space="preserve">We began with paired snRNA-seq and ATAC-seq data from GSE268609, comprising 39 human hippocampal donor records [17]. The discovery contrast compared 8 young adults aged 21–38 years with 9 older, clinically defined control donors aged 60–93 years; MCI, Alzheimer’s disease, and SuperAger groups were held aside. The dataset captured the major support-cell compartments at depth—25,218 astrocyte, 12,165 microglial, 59,100 oligodendrocyte, and 12,597 oligodendrocyte precursor cell (OPC) nuclei—together with a smaller mixed vascular compartment (Fig. 1A–C).</w:t>
      </w:r>
    </w:p>
    <w:p>
      <w:pPr>
        <w:pStyle w:val="Normal"/>
        <w:ind w:firstLine="840"/>
        <w:rPr>
          <w:color w:themeColor="text1" w:val="000000"/>
          <w:sz w:val="22"/>
          <w:szCs w:val="22"/>
        </w:rPr>
      </w:pPr>
      <w:r>
        <w:rPr>
          <w:color w:themeColor="text1" w:val="000000"/>
          <w:sz w:val="22"/>
          <w:szCs w:val="22"/>
        </w:rPr>
        <w:t xml:space="preserve">Three rare deposited clusters were labelled neural stem cells (NSCs), neuroblasts, and immature neurons, but their marker profiles and classifier assignments were more consistent with mature glial or neuronal identities, with possible doublets (Methods). DecontX reclustering reinforced the alternative interpretations of the neuroblast- and immature-labelled nuclei at all three resolutions, but the NSC-labelled nuclei aligned with astrocytes at only two resolutions and formed a low-purity cluster (0.51) at the third. Moreover, the doublet classifier also called 44% of ependymal cells heterotypic doublets, and no empty-droplet matrix was available. These analyses therefore show that the deposited labels are not secure neurogenic readouts; they do not prove a particular alternative identity. We excluded the three populations from every conclusion about neurogenesis. Their behaviour is reported only to describe the dataset: the NSC-labelled cluster was smaller in older donors (log2 fold change −1.7; adjusted </w:t>
      </w:r>
      <w:r>
        <w:rPr>
          <w:i/>
          <w:iCs/>
          <w:color w:themeColor="text1" w:val="000000"/>
          <w:sz w:val="22"/>
          <w:szCs w:val="22"/>
        </w:rPr>
        <w:t xml:space="preserve">P</w:t>
      </w:r>
      <w:r>
        <w:rPr>
          <w:color w:themeColor="text1" w:val="000000"/>
          <w:sz w:val="22"/>
          <w:szCs w:val="22"/>
        </w:rPr>
        <w:t xml:space="preserve"> = 0.001), but this cannot be interpreted as loss of genuine NSCs. The raw microglial fraction was higher in older donors (log2 fold change +1.4; adjusted </w:t>
      </w:r>
      <w:r>
        <w:rPr>
          <w:i/>
          <w:iCs/>
          <w:color w:themeColor="text1" w:val="000000"/>
          <w:sz w:val="22"/>
          <w:szCs w:val="22"/>
        </w:rPr>
        <w:t xml:space="preserve">P</w:t>
      </w:r>
      <w:r>
        <w:rPr>
          <w:color w:themeColor="text1" w:val="000000"/>
          <w:sz w:val="22"/>
          <w:szCs w:val="22"/>
        </w:rPr>
        <w:t xml:space="preserve"> = 0.002), yet its significance depended on the compositional denominator. It survived a beta-binomial test (adjusted </w:t>
      </w:r>
      <w:r>
        <w:rPr>
          <w:i/>
          <w:iCs/>
          <w:color w:themeColor="text1" w:val="000000"/>
          <w:sz w:val="22"/>
          <w:szCs w:val="22"/>
        </w:rPr>
        <w:t xml:space="preserve">P</w:t>
      </w:r>
      <w:r>
        <w:rPr>
          <w:color w:themeColor="text1" w:val="000000"/>
          <w:sz w:val="22"/>
          <w:szCs w:val="22"/>
        </w:rPr>
        <w:t xml:space="preserve"> = 0.003) and an oligodendrocyte-referenced log ratio (adjusted </w:t>
      </w:r>
      <w:r>
        <w:rPr>
          <w:i/>
          <w:iCs/>
          <w:color w:themeColor="text1" w:val="000000"/>
          <w:sz w:val="22"/>
          <w:szCs w:val="22"/>
        </w:rPr>
        <w:t xml:space="preserve">P</w:t>
      </w:r>
      <w:r>
        <w:rPr>
          <w:color w:themeColor="text1" w:val="000000"/>
          <w:sz w:val="22"/>
          <w:szCs w:val="22"/>
        </w:rPr>
        <w:t xml:space="preserve"> = 0.036), but not a centred log-ratio analysis (adjusted </w:t>
      </w:r>
      <w:r>
        <w:rPr>
          <w:i/>
          <w:iCs/>
          <w:color w:themeColor="text1" w:val="000000"/>
          <w:sz w:val="22"/>
          <w:szCs w:val="22"/>
        </w:rPr>
        <w:t xml:space="preserve">P</w:t>
      </w:r>
      <w:r>
        <w:rPr>
          <w:color w:themeColor="text1" w:val="000000"/>
          <w:sz w:val="22"/>
          <w:szCs w:val="22"/>
        </w:rPr>
        <w:t xml:space="preserve"> = 0.48) or log ratios referenced to astrocytes or granule cells. Thus, the cohort is compatible with age-associated microgliosis but does not establish it independently of compositional method (Fig. 1D).</w:t>
      </w:r>
    </w:p>
    <w:p>
      <w:pPr>
        <w:pStyle w:val="Normal"/>
        <w:ind w:firstLine="840"/>
        <w:rPr>
          <w:color w:themeColor="text1" w:val="000000"/>
          <w:sz w:val="22"/>
          <w:szCs w:val="22"/>
        </w:rPr>
      </w:pPr>
      <w:r>
        <w:rPr>
          <w:color w:themeColor="text1" w:val="000000"/>
          <w:sz w:val="22"/>
          <w:szCs w:val="22"/>
        </w:rPr>
        <w:t xml:space="preserve">The held-out disease and resilience groups confirmed that the discovery comparison was not simply a proxy for AD (Fig. S2). Oligodendrocytes represented 31.7% of nuclei in older controls and 49.6% in AD, while interneurons fell from 5.2% to 1.7%; neither change appeared in SuperAgers, whose corresponding fractions were 35.8% and 6.0%. We therefore defined the secretome-related program exclusively from the young-versus-older control contrast and used disease groups only for later projection.</w:t>
      </w:r>
    </w:p>
    <w:p>
      <w:pPr>
        <w:pStyle w:val="Heading2"/>
        <w:rPr>
          <w:color w:themeColor="text1" w:val="000000"/>
          <w:sz w:val="22"/>
          <w:szCs w:val="22"/>
        </w:rPr>
      </w:pPr>
      <w:r>
        <w:rPr>
          <w:color w:themeColor="text1" w:val="000000"/>
          <w:sz w:val="22"/>
          <w:szCs w:val="22"/>
        </w:rPr>
        <w:t xml:space="preserve">Older age reshapes secretome-related transcription across support-cell compartments</w:t>
      </w:r>
    </w:p>
    <w:p>
      <w:pPr>
        <w:pStyle w:val="Normal"/>
        <w:rPr>
          <w:color w:themeColor="text1" w:val="000000"/>
          <w:sz w:val="22"/>
          <w:szCs w:val="22"/>
        </w:rPr>
      </w:pPr>
      <w:r>
        <w:rPr>
          <w:color w:themeColor="text1" w:val="000000"/>
          <w:sz w:val="22"/>
          <w:szCs w:val="22"/>
        </w:rPr>
        <w:t xml:space="preserve">We next combined donor-pseudobulk differential expression with the curated 2,224-gene secretome universe. At adjusted </w:t>
      </w:r>
      <w:r>
        <w:rPr>
          <w:i/>
          <w:iCs/>
          <w:color w:themeColor="text1" w:val="000000"/>
          <w:sz w:val="22"/>
          <w:szCs w:val="22"/>
        </w:rPr>
        <w:t xml:space="preserve">P</w:t>
      </w:r>
      <w:r>
        <w:rPr>
          <w:color w:themeColor="text1" w:val="000000"/>
          <w:sz w:val="22"/>
          <w:szCs w:val="22"/>
        </w:rPr>
        <w:t xml:space="preserve"> &lt; 0.1, older age was associated with 60 secretome gene–cell-type changes representing 57 distinct genes: 26 in astrocytes, 12 in microglia, 11 in the vascular compartment, 6 in OPCs, and 5 in oligodendrocytes (36 increased and 24 decreased; Fig. 2A,B). The result was not simply a uniform increase or decrease. It formed a recognisable cellular pattern: extracellular-matrix and matricellular genes rose in astrocytes, inflammatory genes rose in microglia, and several vascular or angiogenic factors declined.</w:t>
      </w:r>
    </w:p>
    <w:p>
      <w:pPr>
        <w:pStyle w:val="Normal"/>
        <w:ind w:firstLine="840"/>
        <w:rPr>
          <w:color w:themeColor="text1" w:val="000000"/>
          <w:sz w:val="22"/>
          <w:szCs w:val="22"/>
        </w:rPr>
      </w:pPr>
      <w:r>
        <w:rPr>
          <w:color w:themeColor="text1" w:val="000000"/>
          <w:sz w:val="22"/>
          <w:szCs w:val="22"/>
        </w:rPr>
        <w:t xml:space="preserve">Direction proved more stable than gene-level significance. Every one of the 60 pairs retained its sign in every eligible leave-one-donor-out refit—17 refits for astrocyte, oligodendrocyte, and OPC genes and 16 for microglial and vascular genes—yet only 21 of 60 remained at adjusted </w:t>
      </w:r>
      <w:r>
        <w:rPr>
          <w:i/>
          <w:iCs/>
          <w:color w:themeColor="text1" w:val="000000"/>
          <w:sz w:val="22"/>
          <w:szCs w:val="22"/>
        </w:rPr>
        <w:t xml:space="preserve">P</w:t>
      </w:r>
      <w:r>
        <w:rPr>
          <w:color w:themeColor="text1" w:val="000000"/>
          <w:sz w:val="22"/>
          <w:szCs w:val="22"/>
        </w:rPr>
        <w:t xml:space="preserve"> &lt; 0.1 in every refit (11/26 astrocyte, 4/12 microglial, 3/11 vascular, 1/5 oligodendrocyte, and 2/6 OPC pairs). Removing one older donor shifted the number of genome-wide astrocyte hits from 233 to 651. Ambient-RNA correction preserved all 57 testable directions and retained 47 of the 60 pairs at adjusted </w:t>
      </w:r>
      <w:r>
        <w:rPr>
          <w:i/>
          <w:iCs/>
          <w:color w:themeColor="text1" w:val="000000"/>
          <w:sz w:val="22"/>
          <w:szCs w:val="22"/>
        </w:rPr>
        <w:t xml:space="preserve">P</w:t>
      </w:r>
      <w:r>
        <w:rPr>
          <w:color w:themeColor="text1" w:val="000000"/>
          <w:sz w:val="22"/>
          <w:szCs w:val="22"/>
        </w:rPr>
        <w:t xml:space="preserve"> &lt; 0.1.</w:t>
      </w:r>
    </w:p>
    <w:p>
      <w:pPr>
        <w:pStyle w:val="Normal"/>
        <w:ind w:firstLine="840"/>
        <w:rPr>
          <w:color w:themeColor="text1" w:val="000000"/>
          <w:sz w:val="22"/>
          <w:szCs w:val="22"/>
        </w:rPr>
      </w:pPr>
      <w:r>
        <w:rPr>
          <w:color w:themeColor="text1" w:val="000000"/>
          <w:sz w:val="22"/>
          <w:szCs w:val="22"/>
        </w:rPr>
        <w:t xml:space="preserve">Covariate adjustment exposed the same boundary more sharply. In single-covariate models, adjustment for sex, post-mortem interval, or preparation arm preserved all 60 directions, while 40/60, 30/60, and 42/60 pairs, respectively, retained adjusted </w:t>
      </w:r>
      <w:r>
        <w:rPr>
          <w:i/>
          <w:iCs/>
          <w:color w:themeColor="text1" w:val="000000"/>
          <w:sz w:val="22"/>
          <w:szCs w:val="22"/>
        </w:rPr>
        <w:t xml:space="preserve">P</w:t>
      </w:r>
      <w:r>
        <w:rPr>
          <w:color w:themeColor="text1" w:val="000000"/>
          <w:sz w:val="22"/>
          <w:szCs w:val="22"/>
        </w:rPr>
        <w:t xml:space="preserve"> &lt; 0.1. When covariates were fitted jointly, ~arm + pmi + group retained only 12/60 pairs (7/26 astrocyte, 1/12 microglial, 1/5 oligodendrocyte, 1/6 OPC, and 2/11 vascular), and the four-term ~sex + arm + pmi + group model retained 0/60, although all 60 directions again remained unchanged. PMI was partly collinear with age group, and the four-term model had only 11–12 residual degrees of freedom in 16–17 donors. These analyses therefore neither prove nor exclude confounding; they show that direction is robust while per-gene adjusted significance is not. We accordingly treat the set as a directionally stable, support-cell-weighted program while avoiding claims that every individual gene is equally secure.</w:t>
      </w:r>
    </w:p>
    <w:p>
      <w:pPr>
        <w:pStyle w:val="Normal"/>
        <w:ind w:firstLine="840"/>
        <w:rPr>
          <w:color w:themeColor="text1" w:val="000000"/>
          <w:sz w:val="22"/>
          <w:szCs w:val="22"/>
        </w:rPr>
      </w:pPr>
      <w:r>
        <w:rPr>
          <w:color w:themeColor="text1" w:val="000000"/>
          <w:sz w:val="22"/>
          <w:szCs w:val="22"/>
        </w:rPr>
        <w:t xml:space="preserve">The genes themselves gave the program its biological character. In astrocytes, TNC, COL21A1, COL12A1, CCN2 (CTGF), ECM2, IGFBP5, ANXA1, and APOD increased, whereas WNT5B decreased. This combination points to a reactive, matrix-remodelling astrocyte state. Microglia showed a more inflammatory profile, with increases in IL15 (log2 fold change +3.1; baseMean 18.5), SERPINE1/PAI-1 (+4.1; baseMean 10.7), APOC1, LGALS9, NPC2, and APOE. These are unshrunk DESeq2 maximum-likelihood estimates, so large values at low expression should be read mainly as directions, not precisely calibrated magnitudes.</w:t>
      </w:r>
    </w:p>
    <w:p>
      <w:pPr>
        <w:pStyle w:val="Normal"/>
        <w:ind w:firstLine="840"/>
        <w:rPr>
          <w:color w:themeColor="text1" w:val="000000"/>
          <w:sz w:val="22"/>
          <w:szCs w:val="22"/>
        </w:rPr>
      </w:pPr>
      <w:r>
        <w:rPr>
          <w:color w:themeColor="text1" w:val="000000"/>
          <w:sz w:val="22"/>
          <w:szCs w:val="22"/>
        </w:rPr>
        <w:t xml:space="preserve">Within the vascular compartment, KDR (VEGFR2) and PLAT declined. LAMA4 and KITLG also declined in the deposited compartment, but neither survived restriction to the endothelial subclusters: the LAMA4 effect was attenuated by 41%, to nominal </w:t>
      </w:r>
      <w:r>
        <w:rPr>
          <w:i/>
          <w:iCs/>
          <w:color w:themeColor="text1" w:val="000000"/>
          <w:sz w:val="22"/>
          <w:szCs w:val="22"/>
        </w:rPr>
        <w:t xml:space="preserve">P</w:t>
      </w:r>
      <w:r>
        <w:rPr>
          <w:color w:themeColor="text1" w:val="000000"/>
          <w:sz w:val="22"/>
          <w:szCs w:val="22"/>
        </w:rPr>
        <w:t xml:space="preserve"> = 0.085, and KITLG reached adjusted </w:t>
      </w:r>
      <w:r>
        <w:rPr>
          <w:i/>
          <w:iCs/>
          <w:color w:themeColor="text1" w:val="000000"/>
          <w:sz w:val="22"/>
          <w:szCs w:val="22"/>
        </w:rPr>
        <w:t xml:space="preserve">P</w:t>
      </w:r>
      <w:r>
        <w:rPr>
          <w:color w:themeColor="text1" w:val="000000"/>
          <w:sz w:val="22"/>
          <w:szCs w:val="22"/>
        </w:rPr>
        <w:t xml:space="preserve"> = 0.61. We therefore do not describe those two changes as endothelial-specific. In the restricted 14-donor comparison, all 11 vascular hits retained their sign, 10 retained nominal </w:t>
      </w:r>
      <w:r>
        <w:rPr>
          <w:i/>
          <w:iCs/>
          <w:color w:themeColor="text1" w:val="000000"/>
          <w:sz w:val="22"/>
          <w:szCs w:val="22"/>
        </w:rPr>
        <w:t xml:space="preserve">P</w:t>
      </w:r>
      <w:r>
        <w:rPr>
          <w:color w:themeColor="text1" w:val="000000"/>
          <w:sz w:val="22"/>
          <w:szCs w:val="22"/>
        </w:rPr>
        <w:t xml:space="preserve"> &lt; 0.05, and 6 retained adjusted </w:t>
      </w:r>
      <w:r>
        <w:rPr>
          <w:i/>
          <w:iCs/>
          <w:color w:themeColor="text1" w:val="000000"/>
          <w:sz w:val="22"/>
          <w:szCs w:val="22"/>
        </w:rPr>
        <w:t xml:space="preserve">P</w:t>
      </w:r>
      <w:r>
        <w:rPr>
          <w:color w:themeColor="text1" w:val="000000"/>
          <w:sz w:val="22"/>
          <w:szCs w:val="22"/>
        </w:rPr>
        <w:t xml:space="preserve"> &lt; 0.1.</w:t>
      </w:r>
    </w:p>
    <w:p>
      <w:pPr>
        <w:pStyle w:val="Normal"/>
        <w:ind w:firstLine="840"/>
        <w:rPr>
          <w:color w:themeColor="text1" w:val="000000"/>
          <w:sz w:val="22"/>
          <w:szCs w:val="22"/>
        </w:rPr>
      </w:pPr>
      <w:r>
        <w:rPr>
          <w:color w:themeColor="text1" w:val="000000"/>
          <w:sz w:val="22"/>
          <w:szCs w:val="22"/>
        </w:rPr>
        <w:t xml:space="preserve">The signal was coherent without being uniformly large. Classical SASP genes such as C1QA, C1QB, C1QC, SERPINA3, CHI3L1, and TIMP1 tended to rise but varied across donors and were not individually significant. The most defensible reading is therefore a set-level shift: aging is accompanied by an inflammatory secretome-related program, an astrocyte-specific matrix arm, and a decline in selected vascular factors.</w:t>
      </w:r>
    </w:p>
    <w:p>
      <w:pPr>
        <w:pStyle w:val="Heading2"/>
        <w:rPr>
          <w:color w:themeColor="text1" w:val="000000"/>
          <w:sz w:val="22"/>
          <w:szCs w:val="22"/>
        </w:rPr>
      </w:pPr>
      <w:r>
        <w:rPr>
          <w:color w:themeColor="text1" w:val="000000"/>
          <w:sz w:val="22"/>
          <w:szCs w:val="22"/>
        </w:rPr>
        <w:t xml:space="preserve">The support-cell program is not broadly reproduced in mature neurons</w:t>
      </w:r>
    </w:p>
    <w:p>
      <w:pPr>
        <w:pStyle w:val="Normal"/>
        <w:rPr>
          <w:color w:themeColor="text1" w:val="000000"/>
          <w:sz w:val="22"/>
          <w:szCs w:val="22"/>
        </w:rPr>
      </w:pPr>
      <w:r>
        <w:rPr>
          <w:color w:themeColor="text1" w:val="000000"/>
          <w:sz w:val="22"/>
          <w:szCs w:val="22"/>
        </w:rPr>
        <w:t xml:space="preserve">The decisive comparison was with dentate granule, CA excitatory, and inhibitory neurons from the same GSE268609 donors. Across shared secretome genes, niche–neuron correlations were weak (median Spearman ρ = 0.15; range 0.03–0.25 across 15 cell-type pairs). This was below the median correlation within niche classes (ρ = 0.26), below the median within neurons (ρ = 0.21), and below the external niche-cohort benchmark (ρ = 0.24; Fig. S3A). Because all cell types share donors, common donor effects can inflate cross-cell-type correlation; ρ = 0.15 is therefore an upper bound on true sharing.</w:t>
      </w:r>
    </w:p>
    <w:p>
      <w:pPr>
        <w:pStyle w:val="Normal"/>
        <w:ind w:firstLine="840"/>
        <w:rPr>
          <w:color w:themeColor="text1" w:val="000000"/>
          <w:sz w:val="22"/>
          <w:szCs w:val="22"/>
        </w:rPr>
      </w:pPr>
      <w:r>
        <w:rPr>
          <w:color w:themeColor="text1" w:val="000000"/>
          <w:sz w:val="22"/>
          <w:szCs w:val="22"/>
        </w:rPr>
        <w:t xml:space="preserve">The 60-pair program also failed to exceed each neuron’s own secretome background. Concordance was 0.49 versus 0.57 in dentate granule cells, 0.62 versus 0.53 in CA excitatory neurons, 0.63 versus 0.57 in inhibitory neurons, and 0.58 versus 0.55 when pooled; none of the four comparisons was significant (Fig. S3B). Under the preparation-adjusted model, mature neurons yielded fewer de novo secretome pairs at adjusted </w:t>
      </w:r>
      <w:r>
        <w:rPr>
          <w:i/>
          <w:iCs/>
          <w:color w:themeColor="text1" w:val="000000"/>
          <w:sz w:val="22"/>
          <w:szCs w:val="22"/>
        </w:rPr>
        <w:t xml:space="preserve">P</w:t>
      </w:r>
      <w:r>
        <w:rPr>
          <w:color w:themeColor="text1" w:val="000000"/>
          <w:sz w:val="22"/>
          <w:szCs w:val="22"/>
        </w:rPr>
        <w:t xml:space="preserve"> &lt; 0.1: 4 in granule cells, 3 in CA excitatory neurons, and none in inhibitory neurons, compared with 17, 11, 7, 6, and 6 in the five support-cell compartments (Fig. S3C). The contrast therefore supports enrichment in niche-supporting cells, while allowing for a weak tissue-wide aging component.</w:t>
      </w:r>
    </w:p>
    <w:p>
      <w:pPr>
        <w:pStyle w:val="Normal"/>
        <w:rPr>
          <w:color w:themeColor="text1" w:val="000000"/>
          <w:sz w:val="22"/>
          <w:szCs w:val="22"/>
        </w:rPr>
      </w:pPr>
      <w:r>
        <w:rPr>
          <w:color w:themeColor="text1" w:val="000000"/>
          <w:sz w:val="22"/>
          <w:szCs w:val="22"/>
        </w:rPr>
        <w:t xml:space="preserve">Mature neurons were not unchanged; they carried a different age-associated profile. Inhibitory neurons showed the clearest increase in interferon, NF-κB, and complement gene sets, together with lower oxidative phosphorylation (Fig. S3D). This descriptive inflammatory component could not be fully separated from ambient glial RNA, did not correlate significantly with support-cell secretome-related output across donors (Spearman ρ = 0.26, </w:t>
      </w:r>
      <w:r>
        <w:rPr>
          <w:i/>
          <w:iCs/>
          <w:color w:themeColor="text1" w:val="000000"/>
          <w:sz w:val="22"/>
          <w:szCs w:val="22"/>
        </w:rPr>
        <w:t xml:space="preserve">P</w:t>
      </w:r>
      <w:r>
        <w:rPr>
          <w:color w:themeColor="text1" w:val="000000"/>
          <w:sz w:val="22"/>
          <w:szCs w:val="22"/>
        </w:rPr>
        <w:t xml:space="preserve"> = 0.31, </w:t>
      </w:r>
      <w:r>
        <w:rPr>
          <w:i/>
          <w:color w:themeColor="text1" w:val="000000"/>
          <w:sz w:val="22"/>
          <w:szCs w:val="22"/>
        </w:rPr>
        <w:t xml:space="preserve">n</w:t>
      </w:r>
      <w:r>
        <w:rPr>
          <w:color w:themeColor="text1" w:val="000000"/>
          <w:sz w:val="22"/>
          <w:szCs w:val="22"/>
        </w:rPr>
        <w:t xml:space="preserve"> = 17), and was not explained by a specific paracrine input. Receptors for the nominated support-cell ligands were expressed in 83–88% of relevant cases, but none of 76 receptors was age-regulated in any neuronal class, and NicheNet ligand activity was non-discriminative. Thus, our finding is not that aging spares neurons; it is that the specific extracellular program discovered here is weighted toward the cells that support them.</w:t>
      </w:r>
    </w:p>
    <w:p>
      <w:pPr>
        <w:pStyle w:val="Heading2"/>
        <w:rPr>
          <w:color w:themeColor="text1" w:val="000000"/>
          <w:sz w:val="22"/>
          <w:szCs w:val="22"/>
        </w:rPr>
      </w:pPr>
      <w:r>
        <w:rPr>
          <w:color w:themeColor="text1" w:val="000000"/>
          <w:sz w:val="22"/>
          <w:szCs w:val="22"/>
        </w:rPr>
        <w:t xml:space="preserve">Independent references connect the signature to senescence and protein biology</w:t>
      </w:r>
    </w:p>
    <w:p>
      <w:pPr>
        <w:pStyle w:val="Normal"/>
        <w:rPr>
          <w:color w:themeColor="text1" w:val="000000"/>
          <w:sz w:val="22"/>
          <w:szCs w:val="22"/>
        </w:rPr>
      </w:pPr>
      <w:r>
        <w:rPr>
          <w:color w:themeColor="text1" w:val="000000"/>
          <w:sz w:val="22"/>
          <w:szCs w:val="22"/>
        </w:rPr>
        <w:t xml:space="preserve">Nuclear RNA does not directly measure secretion, so we next asked whether the transcriptional pattern agreed with orthogonal senescence and proteomic references. The comparisons were directional within the secretome universe; over-representation analyses were treated as descriptive because their results depend on the chosen background.</w:t>
      </w:r>
    </w:p>
    <w:p>
      <w:pPr>
        <w:pStyle w:val="Normal"/>
        <w:ind w:firstLine="840"/>
        <w:rPr>
          <w:color w:themeColor="text1" w:val="000000"/>
          <w:sz w:val="22"/>
          <w:szCs w:val="22"/>
        </w:rPr>
      </w:pPr>
      <w:r>
        <w:rPr>
          <w:color w:themeColor="text1" w:val="000000"/>
          <w:sz w:val="22"/>
          <w:szCs w:val="22"/>
        </w:rPr>
        <w:t xml:space="preserve">The curated SenMayo SASP set [13] shifted upward with age in astrocytes (74% up; one-sided </w:t>
      </w:r>
      <w:r>
        <w:rPr>
          <w:i/>
          <w:iCs/>
          <w:color w:themeColor="text1" w:val="000000"/>
          <w:sz w:val="22"/>
          <w:szCs w:val="22"/>
        </w:rPr>
        <w:t xml:space="preserve">P</w:t>
      </w:r>
      <w:r>
        <w:rPr>
          <w:color w:themeColor="text1" w:val="000000"/>
          <w:sz w:val="22"/>
          <w:szCs w:val="22"/>
        </w:rPr>
        <w:t xml:space="preserve"> = 4.9×10</w:t>
      </w:r>
      <w:r>
        <w:rPr>
          <w:color w:themeColor="text1" w:val="000000"/>
          <w:sz w:val="22"/>
          <w:szCs w:val="22"/>
          <w:vertAlign w:val="superscript"/>
        </w:rPr>
        <w:t xml:space="preserve">−3</w:t>
      </w:r>
      <w:r>
        <w:rPr>
          <w:color w:themeColor="text1" w:val="000000"/>
          <w:sz w:val="22"/>
          <w:szCs w:val="22"/>
        </w:rPr>
        <w:t xml:space="preserve">) and microglia (60% up; </w:t>
      </w:r>
      <w:r>
        <w:rPr>
          <w:i/>
          <w:iCs/>
          <w:color w:themeColor="text1" w:val="000000"/>
          <w:sz w:val="22"/>
          <w:szCs w:val="22"/>
        </w:rPr>
        <w:t xml:space="preserve">P</w:t>
      </w:r>
      <w:r>
        <w:rPr>
          <w:color w:themeColor="text1" w:val="000000"/>
          <w:sz w:val="22"/>
          <w:szCs w:val="22"/>
        </w:rPr>
        <w:t xml:space="preserve"> = 6.8×10</w:t>
      </w:r>
      <w:r>
        <w:rPr>
          <w:color w:themeColor="text1" w:val="000000"/>
          <w:sz w:val="22"/>
          <w:szCs w:val="22"/>
          <w:vertAlign w:val="superscript"/>
        </w:rPr>
        <w:t xml:space="preserve">−3</w:t>
      </w:r>
      <w:r>
        <w:rPr>
          <w:color w:themeColor="text1" w:val="000000"/>
          <w:sz w:val="22"/>
          <w:szCs w:val="22"/>
        </w:rPr>
        <w:t xml:space="preserve">), with IL15, SERPINE1, AXL, IGFBP5, and CXCL2 among the overlapping genes. SenMayo was validated in bone, bone marrow, and adipose tissue rather than brain, so this comparison transfers its biology to a new tissue rather than demonstrating a previously validated brain mapping. The SASP Atlas provided protein-level support in cultured-cell conditioned medium [14]: 76% of the astrocyte program shifted upward (</w:t>
      </w:r>
      <w:r>
        <w:rPr>
          <w:i/>
          <w:iCs/>
          <w:color w:themeColor="text1" w:val="000000"/>
          <w:sz w:val="22"/>
          <w:szCs w:val="22"/>
        </w:rPr>
        <w:t xml:space="preserve">P</w:t>
      </w:r>
      <w:r>
        <w:rPr>
          <w:color w:themeColor="text1" w:val="000000"/>
          <w:sz w:val="22"/>
          <w:szCs w:val="22"/>
        </w:rPr>
        <w:t xml:space="preserve"> = 3.2×10</w:t>
      </w:r>
      <w:r>
        <w:rPr>
          <w:color w:themeColor="text1" w:val="000000"/>
          <w:sz w:val="22"/>
          <w:szCs w:val="22"/>
          <w:vertAlign w:val="superscript"/>
        </w:rPr>
        <w:t xml:space="preserve">−4</w:t>
      </w:r>
      <w:r>
        <w:rPr>
          <w:color w:themeColor="text1" w:val="000000"/>
          <w:sz w:val="22"/>
          <w:szCs w:val="22"/>
        </w:rPr>
        <w:t xml:space="preserve">), as did 67% of the microglial program (</w:t>
      </w:r>
      <w:r>
        <w:rPr>
          <w:i/>
          <w:iCs/>
          <w:color w:themeColor="text1" w:val="000000"/>
          <w:sz w:val="22"/>
          <w:szCs w:val="22"/>
        </w:rPr>
        <w:t xml:space="preserve">P</w:t>
      </w:r>
      <w:r>
        <w:rPr>
          <w:color w:themeColor="text1" w:val="000000"/>
          <w:sz w:val="22"/>
          <w:szCs w:val="22"/>
        </w:rPr>
        <w:t xml:space="preserve"> = 1.7×10</w:t>
      </w:r>
      <w:r>
        <w:rPr>
          <w:color w:themeColor="text1" w:val="000000"/>
          <w:sz w:val="22"/>
          <w:szCs w:val="22"/>
          <w:vertAlign w:val="superscript"/>
        </w:rPr>
        <w:t xml:space="preserve">−3</w:t>
      </w:r>
      <w:r>
        <w:rPr>
          <w:color w:themeColor="text1" w:val="000000"/>
          <w:sz w:val="22"/>
          <w:szCs w:val="22"/>
        </w:rPr>
        <w:t xml:space="preserve">). The overlap included the astrocyte matrix proteins TNC, COL12A1, IGFBP5, BGN, and VIM, together with microglial SERPINE1 (Fig. 2C).</w:t>
      </w:r>
    </w:p>
    <w:p>
      <w:pPr>
        <w:pStyle w:val="Normal"/>
        <w:ind w:firstLine="840"/>
        <w:rPr>
          <w:color w:themeColor="text1" w:val="000000"/>
          <w:sz w:val="22"/>
          <w:szCs w:val="22"/>
        </w:rPr>
      </w:pPr>
      <w:r>
        <w:rPr>
          <w:color w:themeColor="text1" w:val="000000"/>
          <w:sz w:val="22"/>
          <w:szCs w:val="22"/>
        </w:rPr>
        <w:t xml:space="preserve">The up-regulated component also aligned with proteins associated with cognitive decline in human dorsolateral prefrontal cortex [15]. In the predefined adjusted-</w:t>
      </w:r>
      <w:r>
        <w:rPr>
          <w:i/>
          <w:iCs/>
          <w:color w:themeColor="text1" w:val="000000"/>
          <w:sz w:val="22"/>
          <w:szCs w:val="22"/>
        </w:rPr>
        <w:t xml:space="preserve">P</w:t>
      </w:r>
      <w:r>
        <w:rPr>
          <w:color w:themeColor="text1" w:val="000000"/>
          <w:sz w:val="22"/>
          <w:szCs w:val="22"/>
        </w:rPr>
        <w:t xml:space="preserve"> &lt; 0.1 set, seven mapped proteins had a pooled cognitive-trajectory coefficient of β = −0.30; 86% were associated with decline (</w:t>
      </w:r>
      <w:r>
        <w:rPr>
          <w:i/>
          <w:iCs/>
          <w:color w:themeColor="text1" w:val="000000"/>
          <w:sz w:val="22"/>
          <w:szCs w:val="22"/>
        </w:rPr>
        <w:t xml:space="preserve">P</w:t>
      </w:r>
      <w:r>
        <w:rPr>
          <w:color w:themeColor="text1" w:val="000000"/>
          <w:sz w:val="22"/>
          <w:szCs w:val="22"/>
        </w:rPr>
        <w:t xml:space="preserve"> = 0.023). The association strengthened in the extended adjusted-</w:t>
      </w:r>
      <w:r>
        <w:rPr>
          <w:i/>
          <w:iCs/>
          <w:color w:themeColor="text1" w:val="000000"/>
          <w:sz w:val="22"/>
          <w:szCs w:val="22"/>
        </w:rPr>
        <w:t xml:space="preserve">P</w:t>
      </w:r>
      <w:r>
        <w:rPr>
          <w:color w:themeColor="text1" w:val="000000"/>
          <w:sz w:val="22"/>
          <w:szCs w:val="22"/>
        </w:rPr>
        <w:t xml:space="preserve"> &lt; 0.2 set (astrocytes: β = −0.46, 86%, </w:t>
      </w:r>
      <w:r>
        <w:rPr>
          <w:i/>
          <w:iCs/>
          <w:color w:themeColor="text1" w:val="000000"/>
          <w:sz w:val="22"/>
          <w:szCs w:val="22"/>
        </w:rPr>
        <w:t xml:space="preserve">P</w:t>
      </w:r>
      <w:r>
        <w:rPr>
          <w:color w:themeColor="text1" w:val="000000"/>
          <w:sz w:val="22"/>
          <w:szCs w:val="22"/>
        </w:rPr>
        <w:t xml:space="preserve"> = 0.011; pooled: β = −0.24, </w:t>
      </w:r>
      <w:r>
        <w:rPr>
          <w:i/>
          <w:iCs/>
          <w:color w:themeColor="text1" w:val="000000"/>
          <w:sz w:val="22"/>
          <w:szCs w:val="22"/>
        </w:rPr>
        <w:t xml:space="preserve">P</w:t>
      </w:r>
      <w:r>
        <w:rPr>
          <w:color w:themeColor="text1" w:val="000000"/>
          <w:sz w:val="22"/>
          <w:szCs w:val="22"/>
        </w:rPr>
        <w:t xml:space="preserve"> = 0.013), with CTSD, ANXA1, APOD, NPC2, and B2M among the main contributors. The down-regulated component was sparsely represented and null (pooled </w:t>
      </w:r>
      <w:r>
        <w:rPr>
          <w:i/>
          <w:color w:themeColor="text1" w:val="000000"/>
          <w:sz w:val="22"/>
          <w:szCs w:val="22"/>
        </w:rPr>
        <w:t xml:space="preserve">n</w:t>
      </w:r>
      <w:r>
        <w:rPr>
          <w:color w:themeColor="text1" w:val="000000"/>
          <w:sz w:val="22"/>
          <w:szCs w:val="22"/>
        </w:rPr>
        <w:t xml:space="preserve"> = 6, </w:t>
      </w:r>
      <w:r>
        <w:rPr>
          <w:i/>
          <w:iCs/>
          <w:color w:themeColor="text1" w:val="000000"/>
          <w:sz w:val="22"/>
          <w:szCs w:val="22"/>
        </w:rPr>
        <w:t xml:space="preserve">P</w:t>
      </w:r>
      <w:r>
        <w:rPr>
          <w:color w:themeColor="text1" w:val="000000"/>
          <w:sz w:val="22"/>
          <w:szCs w:val="22"/>
        </w:rPr>
        <w:t xml:space="preserve"> = 0.55), so this support applies specifically to the aging-UP/SASP component.</w:t>
      </w:r>
    </w:p>
    <w:p>
      <w:pPr>
        <w:pStyle w:val="Normal"/>
        <w:ind w:firstLine="840"/>
        <w:rPr>
          <w:color w:themeColor="text1" w:val="000000"/>
          <w:sz w:val="22"/>
          <w:szCs w:val="22"/>
        </w:rPr>
      </w:pPr>
      <w:r>
        <w:rPr>
          <w:color w:themeColor="text1" w:val="000000"/>
          <w:sz w:val="22"/>
          <w:szCs w:val="22"/>
        </w:rPr>
        <w:t xml:space="preserve">Agreement with the CSF aging proteome [16] was weaker and depended on both the threshold and the comparison background. TNC, ANXA1, SERPINE1, and IGFBP5 all increased with age in CSF. Against the whole measured CSF proteome (6,174 features) the predefined signature showed only a non-significant trend (60% up, </w:t>
      </w:r>
      <w:r>
        <w:rPr>
          <w:i/>
          <w:color w:themeColor="text1" w:val="000000"/>
          <w:sz w:val="22"/>
          <w:szCs w:val="22"/>
        </w:rPr>
        <w:t xml:space="preserve">n</w:t>
      </w:r>
      <w:r>
        <w:rPr>
          <w:color w:themeColor="text1" w:val="000000"/>
          <w:sz w:val="22"/>
          <w:szCs w:val="22"/>
        </w:rPr>
        <w:t xml:space="preserve"> = 25, </w:t>
      </w:r>
      <w:r>
        <w:rPr>
          <w:i/>
          <w:color w:themeColor="text1" w:val="000000"/>
          <w:sz w:val="22"/>
          <w:szCs w:val="22"/>
        </w:rPr>
        <w:t xml:space="preserve">P</w:t>
      </w:r>
      <w:r>
        <w:rPr>
          <w:color w:themeColor="text1" w:val="000000"/>
          <w:sz w:val="22"/>
          <w:szCs w:val="22"/>
        </w:rPr>
        <w:t xml:space="preserve"> = 0.21) while the extended set was concordant (69% up, </w:t>
      </w:r>
      <w:r>
        <w:rPr>
          <w:i/>
          <w:color w:themeColor="text1" w:val="000000"/>
          <w:sz w:val="22"/>
          <w:szCs w:val="22"/>
        </w:rPr>
        <w:t xml:space="preserve">n</w:t>
      </w:r>
      <w:r>
        <w:rPr>
          <w:color w:themeColor="text1" w:val="000000"/>
          <w:sz w:val="22"/>
          <w:szCs w:val="22"/>
        </w:rPr>
        <w:t xml:space="preserve"> = 42, </w:t>
      </w:r>
      <w:r>
        <w:rPr>
          <w:i/>
          <w:color w:themeColor="text1" w:val="000000"/>
          <w:sz w:val="22"/>
          <w:szCs w:val="22"/>
        </w:rPr>
        <w:t xml:space="preserve">P</w:t>
      </w:r>
      <w:r>
        <w:rPr>
          <w:color w:themeColor="text1" w:val="000000"/>
          <w:sz w:val="22"/>
          <w:szCs w:val="22"/>
        </w:rPr>
        <w:t xml:space="preserve"> = 0.001; Fig. S4). Restricting the background to the 1,325 CSF features that lie inside the secretome universe — the matched comparison — moves those values to </w:t>
      </w:r>
      <w:r>
        <w:rPr>
          <w:i/>
          <w:color w:themeColor="text1" w:val="000000"/>
          <w:sz w:val="22"/>
          <w:szCs w:val="22"/>
        </w:rPr>
        <w:t xml:space="preserve">P</w:t>
      </w:r>
      <w:r>
        <w:rPr>
          <w:color w:themeColor="text1" w:val="000000"/>
          <w:sz w:val="22"/>
          <w:szCs w:val="22"/>
        </w:rPr>
        <w:t xml:space="preserve"> = 0.44 and </w:t>
      </w:r>
      <w:r>
        <w:rPr>
          <w:i/>
          <w:color w:themeColor="text1" w:val="000000"/>
          <w:sz w:val="22"/>
          <w:szCs w:val="22"/>
        </w:rPr>
        <w:t xml:space="preserve">P</w:t>
      </w:r>
      <w:r>
        <w:rPr>
          <w:color w:themeColor="text1" w:val="000000"/>
          <w:sz w:val="22"/>
          <w:szCs w:val="22"/>
        </w:rPr>
        <w:t xml:space="preserve"> = 0.014. We therefore regard the CSF result as suggestive support for the broader UP component, not as primary protein-level validation of the 60-pair set. Taken together, these references connect the transcriptional signature to a senescence-shaped secretory program and to proteins measured in related biological systems, without implying that secretion from the hippocampal niche itself was directly assayed.</w:t>
      </w:r>
    </w:p>
    <w:p>
      <w:pPr>
        <w:pStyle w:val="Heading2"/>
        <w:rPr>
          <w:color w:themeColor="text1" w:val="000000"/>
          <w:sz w:val="22"/>
          <w:szCs w:val="22"/>
        </w:rPr>
      </w:pPr>
      <w:r>
        <w:rPr>
          <w:color w:themeColor="text1" w:val="000000"/>
          <w:sz w:val="22"/>
          <w:szCs w:val="22"/>
        </w:rPr>
        <w:t xml:space="preserve">The signature reappears in a second human hippocampal cohort</w:t>
      </w:r>
    </w:p>
    <w:p>
      <w:pPr>
        <w:pStyle w:val="Normal"/>
        <w:rPr>
          <w:color w:themeColor="text1" w:val="000000"/>
          <w:sz w:val="22"/>
          <w:szCs w:val="22"/>
        </w:rPr>
      </w:pPr>
      <w:r>
        <w:rPr>
          <w:color w:themeColor="text1" w:val="000000"/>
          <w:sz w:val="22"/>
          <w:szCs w:val="22"/>
        </w:rPr>
        <w:t xml:space="preserve">We then tested the predefined signature in GSE278576, an independent-laboratory hippocampal multiome containing 40 donors aged 20–95 years [18]. The pre-specified contrast compared 20 donors aged at least 60 years with 10 younger than 40 years using the same donor-pseudobulk workflow. We tested the existing signature; we did not redefine it in the new data.</w:t>
      </w:r>
    </w:p>
    <w:p>
      <w:pPr>
        <w:pStyle w:val="Normal"/>
        <w:ind w:firstLine="840"/>
        <w:rPr>
          <w:color w:themeColor="text1" w:val="000000"/>
          <w:sz w:val="22"/>
          <w:szCs w:val="22"/>
        </w:rPr>
      </w:pPr>
      <w:r>
        <w:rPr>
          <w:color w:themeColor="text1" w:val="000000"/>
          <w:sz w:val="22"/>
          <w:szCs w:val="22"/>
        </w:rPr>
        <w:t xml:space="preserve">All three pre-specified metrics passed against the external cohort’s unmatched background (Fig. 3). Aging-UP pairs had larger external effects than aging-DOWN pairs (Mann–Whitney </w:t>
      </w:r>
      <w:r>
        <w:rPr>
          <w:i/>
          <w:iCs/>
          <w:color w:themeColor="text1" w:val="000000"/>
          <w:sz w:val="22"/>
          <w:szCs w:val="22"/>
        </w:rPr>
        <w:t xml:space="preserve">P</w:t>
      </w:r>
      <w:r>
        <w:rPr>
          <w:color w:themeColor="text1" w:val="000000"/>
          <w:sz w:val="22"/>
          <w:szCs w:val="22"/>
        </w:rPr>
        <w:t xml:space="preserve"> = 1.4×10</w:t>
      </w:r>
      <w:r>
        <w:rPr>
          <w:color w:themeColor="text1" w:val="000000"/>
          <w:sz w:val="22"/>
          <w:szCs w:val="22"/>
          <w:vertAlign w:val="superscript"/>
        </w:rPr>
        <w:t xml:space="preserve">−6</w:t>
      </w:r>
      <w:r>
        <w:rPr>
          <w:color w:themeColor="text1" w:val="000000"/>
          <w:sz w:val="22"/>
          <w:szCs w:val="22"/>
        </w:rPr>
        <w:t xml:space="preserve">). Primary and external log2 fold changes were positively correlated in all four evaluable niche cell types and reached Spearman ρ = 0.24 across 3,983 gene–cell-type pairs. The associated </w:t>
      </w:r>
      <w:r>
        <w:rPr>
          <w:i/>
          <w:iCs/>
          <w:color w:themeColor="text1" w:val="000000"/>
          <w:sz w:val="22"/>
          <w:szCs w:val="22"/>
        </w:rPr>
        <w:t xml:space="preserve">P</w:t>
      </w:r>
      <w:r>
        <w:rPr>
          <w:color w:themeColor="text1" w:val="000000"/>
          <w:sz w:val="22"/>
          <w:szCs w:val="22"/>
        </w:rPr>
        <w:t xml:space="preserve"> = 2×10</w:t>
      </w:r>
      <w:r>
        <w:rPr>
          <w:color w:themeColor="text1" w:val="000000"/>
          <w:sz w:val="22"/>
          <w:szCs w:val="22"/>
          <w:vertAlign w:val="superscript"/>
        </w:rPr>
        <w:t xml:space="preserve">−53</w:t>
      </w:r>
      <w:r>
        <w:rPr>
          <w:color w:themeColor="text1" w:val="000000"/>
          <w:sz w:val="22"/>
          <w:szCs w:val="22"/>
        </w:rPr>
        <w:t xml:space="preserve"> is driven by the number of genes; ρ = 0.24 is the biologically relevant effect size. Of the 60 predefined pairs, 48 were evaluable because the 11 vascular pairs were absent and astrocyte CCN2 did not map. Thirty-nine of those 48, or 81%, retained their direction, compared with 58% of the external secretome background (</w:t>
      </w:r>
      <w:r>
        <w:rPr>
          <w:i/>
          <w:iCs/>
          <w:color w:themeColor="text1" w:val="000000"/>
          <w:sz w:val="22"/>
          <w:szCs w:val="22"/>
        </w:rPr>
        <w:t xml:space="preserve">P</w:t>
      </w:r>
      <w:r>
        <w:rPr>
          <w:color w:themeColor="text1" w:val="000000"/>
          <w:sz w:val="22"/>
          <w:szCs w:val="22"/>
        </w:rPr>
        <w:t xml:space="preserve"> = 5×10</w:t>
      </w:r>
      <w:r>
        <w:rPr>
          <w:color w:themeColor="text1" w:val="000000"/>
          <w:sz w:val="22"/>
          <w:szCs w:val="22"/>
          <w:vertAlign w:val="superscript"/>
        </w:rPr>
        <w:t xml:space="preserve">−4</w:t>
      </w:r>
      <w:r>
        <w:rPr>
          <w:color w:themeColor="text1" w:val="000000"/>
          <w:sz w:val="22"/>
          <w:szCs w:val="22"/>
        </w:rPr>
        <w:t xml:space="preserve">).</w:t>
      </w:r>
    </w:p>
    <w:p>
      <w:pPr>
        <w:pStyle w:val="Normal"/>
        <w:rPr>
          <w:color w:themeColor="text1" w:val="000000"/>
          <w:sz w:val="22"/>
          <w:szCs w:val="22"/>
        </w:rPr>
      </w:pPr>
      <w:r>
        <w:rPr>
          <w:color w:themeColor="text1" w:val="000000"/>
          <w:sz w:val="22"/>
          <w:szCs w:val="22"/>
        </w:rPr>
        <w:t xml:space="preserve">Donor-label permutations in the external cohort placed all three observations beyond the null (mean signed effect </w:t>
      </w:r>
      <w:r>
        <w:rPr>
          <w:i/>
          <w:iCs/>
          <w:color w:themeColor="text1" w:val="000000"/>
          <w:sz w:val="22"/>
          <w:szCs w:val="22"/>
        </w:rPr>
        <w:t xml:space="preserve">P</w:t>
      </w:r>
      <w:r>
        <w:rPr>
          <w:color w:themeColor="text1" w:val="000000"/>
          <w:sz w:val="22"/>
          <w:szCs w:val="22"/>
        </w:rPr>
        <w:t xml:space="preserve"> = 0.0099, sign concordance </w:t>
      </w:r>
      <w:r>
        <w:rPr>
          <w:i/>
          <w:iCs/>
          <w:color w:themeColor="text1" w:val="000000"/>
          <w:sz w:val="22"/>
          <w:szCs w:val="22"/>
        </w:rPr>
        <w:t xml:space="preserve">P</w:t>
      </w:r>
      <w:r>
        <w:rPr>
          <w:color w:themeColor="text1" w:val="000000"/>
          <w:sz w:val="22"/>
          <w:szCs w:val="22"/>
        </w:rPr>
        <w:t xml:space="preserve"> = 0.0297, and pooled correlation </w:t>
      </w:r>
      <w:r>
        <w:rPr>
          <w:i/>
          <w:iCs/>
          <w:color w:themeColor="text1" w:val="000000"/>
          <w:sz w:val="22"/>
          <w:szCs w:val="22"/>
        </w:rPr>
        <w:t xml:space="preserve">P</w:t>
      </w:r>
      <w:r>
        <w:rPr>
          <w:color w:themeColor="text1" w:val="000000"/>
          <w:sz w:val="22"/>
          <w:szCs w:val="22"/>
        </w:rPr>
        <w:t xml:space="preserve"> = 0.0099; 100 permutations, minimum attainable </w:t>
      </w:r>
      <w:r>
        <w:rPr>
          <w:i/>
          <w:iCs/>
          <w:color w:themeColor="text1" w:val="000000"/>
          <w:sz w:val="22"/>
          <w:szCs w:val="22"/>
        </w:rPr>
        <w:t xml:space="preserve">P</w:t>
      </w:r>
      <w:r>
        <w:rPr>
          <w:color w:themeColor="text1" w:val="000000"/>
          <w:sz w:val="22"/>
          <w:szCs w:val="22"/>
        </w:rPr>
        <w:t xml:space="preserve"> = 1/101). The result also persisted after sex adjustment and when age was modelled continuously. It therefore reflects reproducible direction and effect correlation rather than an obvious feature of the cohort’s donor structure.</w:t>
      </w:r>
    </w:p>
    <w:p>
      <w:pPr>
        <w:pStyle w:val="Normal"/>
        <w:ind w:firstLine="840"/>
        <w:rPr>
          <w:color w:themeColor="text1" w:val="000000"/>
          <w:sz w:val="22"/>
          <w:szCs w:val="22"/>
        </w:rPr>
      </w:pPr>
      <w:r>
        <w:rPr>
          <w:color w:themeColor="text1" w:val="000000"/>
          <w:sz w:val="22"/>
          <w:szCs w:val="22"/>
        </w:rPr>
        <w:t xml:space="preserve">That conclusion has an important limit. The predefined pairs were selected partly because they had large primary-cohort effects (mean absolute log2 fold change, 1.711), whereas the unmatched 58% background is dominated by near-zero effects. Background concordance rose from 52.0% in the smallest effect-size decile to 65.5% in the largest. When the comparison was restricted to genes tightly matched within cell type for expression and absolute effect size (k = 10 nearest neighbours), neither directional metric remained distinct (</w:t>
      </w:r>
      <w:r>
        <w:rPr>
          <w:i/>
          <w:iCs/>
          <w:color w:themeColor="text1" w:val="000000"/>
          <w:sz w:val="22"/>
          <w:szCs w:val="22"/>
        </w:rPr>
        <w:t xml:space="preserve">P</w:t>
      </w:r>
      <w:r>
        <w:rPr>
          <w:color w:themeColor="text1" w:val="000000"/>
          <w:sz w:val="22"/>
          <w:szCs w:val="22"/>
        </w:rPr>
        <w:t xml:space="preserve"> = 0.146 and </w:t>
      </w:r>
      <w:r>
        <w:rPr>
          <w:i/>
          <w:iCs/>
          <w:color w:themeColor="text1" w:val="000000"/>
          <w:sz w:val="22"/>
          <w:szCs w:val="22"/>
        </w:rPr>
        <w:t xml:space="preserve">P</w:t>
      </w:r>
      <w:r>
        <w:rPr>
          <w:color w:themeColor="text1" w:val="000000"/>
          <w:sz w:val="22"/>
          <w:szCs w:val="22"/>
        </w:rPr>
        <w:t xml:space="preserve"> = 0.187 across 20,000 draws). Significance returned only with looser matching (k ≥ 100, </w:t>
      </w:r>
      <w:r>
        <w:rPr>
          <w:i/>
          <w:iCs/>
          <w:color w:themeColor="text1" w:val="000000"/>
          <w:sz w:val="22"/>
          <w:szCs w:val="22"/>
        </w:rPr>
        <w:t xml:space="preserve">P</w:t>
      </w:r>
      <w:r>
        <w:rPr>
          <w:color w:themeColor="text1" w:val="000000"/>
          <w:sz w:val="22"/>
          <w:szCs w:val="22"/>
        </w:rPr>
        <w:t xml:space="preserve"> ≤ 0.024), as the control became more like the unmatched background. Thus, the signature reproduces in the second cohort, but the data do not show that these 60 selected pairs reproduce better than other genes with equally large effects.</w:t>
      </w:r>
    </w:p>
    <w:p>
      <w:pPr>
        <w:pStyle w:val="Normal"/>
        <w:ind w:firstLine="840"/>
        <w:rPr>
          <w:color w:themeColor="text1" w:val="000000"/>
          <w:sz w:val="22"/>
          <w:szCs w:val="22"/>
        </w:rPr>
      </w:pPr>
      <w:r>
        <w:rPr>
          <w:color w:themeColor="text1" w:val="000000"/>
          <w:sz w:val="22"/>
          <w:szCs w:val="22"/>
        </w:rPr>
        <w:t xml:space="preserve">The overall effect was modest, consistent with a subtle program rather than a large state transition. The external multiome did not sample endothelium adequately, so it could not test the vascular arm. In GSE186538, which separates mural and vascular-leptomeningeal populations from endothelium, all 11 vascular hits were directionally concordant [19]. That result is only supporting, because the age effect was dominated by a single 79-year-old donor. The strongest external evidence therefore remains the directional and effect-size reproduction in GSE278576.</w:t>
      </w:r>
    </w:p>
    <w:p>
      <w:pPr>
        <w:pStyle w:val="Heading2"/>
        <w:rPr>
          <w:color w:themeColor="text1" w:val="000000"/>
          <w:sz w:val="22"/>
          <w:szCs w:val="22"/>
        </w:rPr>
      </w:pPr>
      <w:r>
        <w:rPr>
          <w:color w:themeColor="text1" w:val="000000"/>
          <w:sz w:val="22"/>
          <w:szCs w:val="22"/>
        </w:rPr>
        <w:t xml:space="preserve">Chromatin accessibility provides gene-level support in astrocytes</w:t>
      </w:r>
    </w:p>
    <w:p>
      <w:pPr>
        <w:pStyle w:val="Normal"/>
        <w:rPr>
          <w:color w:themeColor="text1" w:val="000000"/>
          <w:sz w:val="22"/>
          <w:szCs w:val="22"/>
        </w:rPr>
      </w:pPr>
      <w:r>
        <w:rPr>
          <w:color w:themeColor="text1" w:val="000000"/>
          <w:sz w:val="22"/>
          <w:szCs w:val="22"/>
        </w:rPr>
        <w:t xml:space="preserve">The paired ATAC-seq data allowed us to ask whether age-associated RNA changes were accompanied by accessibility changes in the same direction. Among the 60 pairs, 41 (68%) had concordant RNA and linked-peak effects (Fig. 4A). This exceeded the empirical background of 57.6% (2,269 of 3,942 RNA-non-significant pairs) only marginally: binomial </w:t>
      </w:r>
      <w:r>
        <w:rPr>
          <w:i/>
          <w:iCs/>
          <w:color w:themeColor="text1" w:val="000000"/>
          <w:sz w:val="22"/>
          <w:szCs w:val="22"/>
        </w:rPr>
        <w:t xml:space="preserve">P</w:t>
      </w:r>
      <w:r>
        <w:rPr>
          <w:color w:themeColor="text1" w:val="000000"/>
          <w:sz w:val="22"/>
          <w:szCs w:val="22"/>
        </w:rPr>
        <w:t xml:space="preserve"> = 0.0581 and Fisher’s exact test </w:t>
      </w:r>
      <w:r>
        <w:rPr>
          <w:i/>
          <w:iCs/>
          <w:color w:themeColor="text1" w:val="000000"/>
          <w:sz w:val="22"/>
          <w:szCs w:val="22"/>
        </w:rPr>
        <w:t xml:space="preserve">P</w:t>
      </w:r>
      <w:r>
        <w:rPr>
          <w:color w:themeColor="text1" w:val="000000"/>
          <w:sz w:val="22"/>
          <w:szCs w:val="22"/>
        </w:rPr>
        <w:t xml:space="preserve"> = 0.0597 with an odds ratio of 1.59, although the sign of each of the 60 RNA–ATAC pairs was stable across normalisation choices.</w:t>
      </w:r>
    </w:p>
    <w:p>
      <w:pPr>
        <w:pStyle w:val="Normal"/>
        <w:ind w:firstLine="840"/>
        <w:rPr>
          <w:color w:themeColor="text1" w:val="000000"/>
          <w:sz w:val="22"/>
          <w:szCs w:val="22"/>
        </w:rPr>
      </w:pPr>
      <w:r>
        <w:rPr>
          <w:color w:themeColor="text1" w:val="000000"/>
          <w:sz w:val="22"/>
          <w:szCs w:val="22"/>
        </w:rPr>
        <w:t xml:space="preserve">The data did not resolve individual regulatory loci. None of 4,971 RNA-linked peak tests and none of 369,393 genome-wide peak tests survived multiple-testing correction. Within the RNA-significant family, only the astrocyte gene COL21A1 reached accessibility significance. Even so, the pre-specified decision criterion failed in all ten cell-type×gene-set combinations. That criterion required a positive oriented mean, enrichment </w:t>
      </w:r>
      <w:r>
        <w:rPr>
          <w:i/>
          <w:iCs/>
          <w:color w:themeColor="text1" w:val="000000"/>
          <w:sz w:val="22"/>
          <w:szCs w:val="22"/>
        </w:rPr>
        <w:t xml:space="preserve">P</w:t>
      </w:r>
      <w:r>
        <w:rPr>
          <w:color w:themeColor="text1" w:val="000000"/>
          <w:sz w:val="22"/>
          <w:szCs w:val="22"/>
        </w:rPr>
        <w:t xml:space="preserve"> &lt; 0.05, and at least three individually FDR-significant concordant peaks; no combination could meet its third requirement because no peak survived per-peak correction. We therefore treat the ATAC analysis as supporting evidence, not as a positive locus-level result.</w:t>
      </w:r>
    </w:p>
    <w:p>
      <w:pPr>
        <w:pStyle w:val="Normal"/>
        <w:ind w:firstLine="840"/>
        <w:rPr>
          <w:color w:themeColor="text1" w:val="000000"/>
          <w:sz w:val="22"/>
          <w:szCs w:val="22"/>
        </w:rPr>
      </w:pPr>
      <w:r>
        <w:rPr>
          <w:color w:themeColor="text1" w:val="000000"/>
          <w:sz w:val="22"/>
          <w:szCs w:val="22"/>
        </w:rPr>
        <w:t xml:space="preserve">The gene-level matched analysis identified one reproducible signal. For the astrocyte foreground, 20 of 26 genes were concordant across 160 linked peaks. The effect exceeded a gene-matched accessibility background (</w:t>
      </w:r>
      <w:r>
        <w:rPr>
          <w:i/>
          <w:iCs/>
          <w:color w:themeColor="text1" w:val="000000"/>
          <w:sz w:val="22"/>
          <w:szCs w:val="22"/>
        </w:rPr>
        <w:t xml:space="preserve">P</w:t>
      </w:r>
      <w:r>
        <w:rPr>
          <w:color w:themeColor="text1" w:val="000000"/>
          <w:sz w:val="22"/>
          <w:szCs w:val="22"/>
        </w:rPr>
        <w:t xml:space="preserve"> = 5.0×10</w:t>
      </w:r>
      <w:r>
        <w:rPr>
          <w:color w:themeColor="text1" w:val="000000"/>
          <w:sz w:val="22"/>
          <w:szCs w:val="22"/>
          <w:vertAlign w:val="superscript"/>
        </w:rPr>
        <w:t xml:space="preserve">−4</w:t>
      </w:r>
      <w:r>
        <w:rPr>
          <w:color w:themeColor="text1" w:val="000000"/>
          <w:sz w:val="22"/>
          <w:szCs w:val="22"/>
        </w:rPr>
        <w:t xml:space="preserve">), a gene-level sign-permutation null (</w:t>
      </w:r>
      <w:r>
        <w:rPr>
          <w:i/>
          <w:iCs/>
          <w:color w:themeColor="text1" w:val="000000"/>
          <w:sz w:val="22"/>
          <w:szCs w:val="22"/>
        </w:rPr>
        <w:t xml:space="preserve">P</w:t>
      </w:r>
      <w:r>
        <w:rPr>
          <w:color w:themeColor="text1" w:val="000000"/>
          <w:sz w:val="22"/>
          <w:szCs w:val="22"/>
        </w:rPr>
        <w:t xml:space="preserve"> = 1.0×10</w:t>
      </w:r>
      <w:r>
        <w:rPr>
          <w:color w:themeColor="text1" w:val="000000"/>
          <w:sz w:val="22"/>
          <w:szCs w:val="22"/>
          <w:vertAlign w:val="superscript"/>
        </w:rPr>
        <w:t xml:space="preserve">−3</w:t>
      </w:r>
      <w:r>
        <w:rPr>
          <w:color w:themeColor="text1" w:val="000000"/>
          <w:sz w:val="22"/>
          <w:szCs w:val="22"/>
        </w:rPr>
        <w:t xml:space="preserve">), and every leave-one-gene-out null (</w:t>
      </w:r>
      <w:r>
        <w:rPr>
          <w:i/>
          <w:iCs/>
          <w:color w:themeColor="text1" w:val="000000"/>
          <w:sz w:val="22"/>
          <w:szCs w:val="22"/>
        </w:rPr>
        <w:t xml:space="preserve">P</w:t>
      </w:r>
      <w:r>
        <w:rPr>
          <w:color w:themeColor="text1" w:val="000000"/>
          <w:sz w:val="22"/>
          <w:szCs w:val="22"/>
        </w:rPr>
        <w:t xml:space="preserve"> = 5.0×10</w:t>
      </w:r>
      <w:r>
        <w:rPr>
          <w:color w:themeColor="text1" w:val="000000"/>
          <w:sz w:val="22"/>
          <w:szCs w:val="22"/>
          <w:vertAlign w:val="superscript"/>
        </w:rPr>
        <w:t xml:space="preserve">−4</w:t>
      </w:r>
      <w:r>
        <w:rPr>
          <w:color w:themeColor="text1" w:val="000000"/>
          <w:sz w:val="22"/>
          <w:szCs w:val="22"/>
        </w:rPr>
        <w:t xml:space="preserve">; the matched and leave-one-gene-out tests reached the 1/2001 floor). The broader set of all secretome-linked genes was also concordant at the gene level in all five niche classes (</w:t>
      </w:r>
      <w:r>
        <w:rPr>
          <w:i/>
          <w:iCs/>
          <w:color w:themeColor="text1" w:val="000000"/>
          <w:sz w:val="22"/>
          <w:szCs w:val="22"/>
        </w:rPr>
        <w:t xml:space="preserve">P</w:t>
      </w:r>
      <w:r>
        <w:rPr>
          <w:color w:themeColor="text1" w:val="000000"/>
          <w:sz w:val="22"/>
          <w:szCs w:val="22"/>
        </w:rPr>
        <w:t xml:space="preserve"> = 5.0×10</w:t>
      </w:r>
      <w:r>
        <w:rPr>
          <w:color w:themeColor="text1" w:val="000000"/>
          <w:sz w:val="22"/>
          <w:szCs w:val="22"/>
          <w:vertAlign w:val="superscript"/>
        </w:rPr>
        <w:t xml:space="preserve">−4</w:t>
      </w:r>
      <w:r>
        <w:rPr>
          <w:color w:themeColor="text1" w:val="000000"/>
          <w:sz w:val="22"/>
          <w:szCs w:val="22"/>
        </w:rPr>
        <w:t xml:space="preserve"> in astrocytes, microglia, oligodendrocytes, and OPCs; </w:t>
      </w:r>
      <w:r>
        <w:rPr>
          <w:i/>
          <w:iCs/>
          <w:color w:themeColor="text1" w:val="000000"/>
          <w:sz w:val="22"/>
          <w:szCs w:val="22"/>
        </w:rPr>
        <w:t xml:space="preserve">P</w:t>
      </w:r>
      <w:r>
        <w:rPr>
          <w:color w:themeColor="text1" w:val="000000"/>
          <w:sz w:val="22"/>
          <w:szCs w:val="22"/>
        </w:rPr>
        <w:t xml:space="preserve"> = 0.027 in the vascular compartment).</w:t>
      </w:r>
    </w:p>
    <w:p>
      <w:pPr>
        <w:pStyle w:val="Normal"/>
        <w:ind w:firstLine="840"/>
        <w:rPr>
          <w:color w:themeColor="text1" w:val="000000"/>
          <w:sz w:val="22"/>
          <w:szCs w:val="22"/>
        </w:rPr>
      </w:pPr>
      <w:r>
        <w:rPr>
          <w:color w:themeColor="text1" w:val="000000"/>
          <w:sz w:val="22"/>
          <w:szCs w:val="22"/>
        </w:rPr>
        <w:t xml:space="preserve">The 60-pair signal did not pass the complete gene-level control in microglia or OPCs. Although both reached the floor of the matched-null test, their sign-permutation </w:t>
      </w:r>
      <w:r>
        <w:rPr>
          <w:i/>
          <w:iCs/>
          <w:color w:themeColor="text1" w:val="000000"/>
          <w:sz w:val="22"/>
          <w:szCs w:val="22"/>
        </w:rPr>
        <w:t xml:space="preserve">P</w:t>
      </w:r>
      <w:r>
        <w:rPr>
          <w:color w:themeColor="text1" w:val="000000"/>
          <w:sz w:val="22"/>
          <w:szCs w:val="22"/>
        </w:rPr>
        <w:t xml:space="preserve">-values were 0.077 and 0.072, respectively. The OPC result was also dominated by FGF13, which contributed 13 of 19 peaks. Table S2 shows peak- and gene-level results side by side and documents why genes, rather than correlated peaks, are the appropriate inferential units.</w:t>
      </w:r>
    </w:p>
    <w:p>
      <w:pPr>
        <w:pStyle w:val="Normal"/>
        <w:ind w:firstLine="840"/>
        <w:rPr>
          <w:color w:themeColor="text1" w:val="000000"/>
          <w:sz w:val="22"/>
          <w:szCs w:val="22"/>
        </w:rPr>
      </w:pPr>
      <w:r>
        <w:rPr>
          <w:color w:themeColor="text1" w:val="000000"/>
          <w:sz w:val="22"/>
          <w:szCs w:val="22"/>
        </w:rPr>
        <w:t xml:space="preserve">Two further checks narrowed the interpretation. An end-to-end analysis that permuted donor labels and repeated both RNA selection and the accessibility test placed astrocytes beyond the selection-only null (</w:t>
      </w:r>
      <w:r>
        <w:rPr>
          <w:i/>
          <w:iCs/>
          <w:color w:themeColor="text1" w:val="000000"/>
          <w:sz w:val="22"/>
          <w:szCs w:val="22"/>
        </w:rPr>
        <w:t xml:space="preserve">P</w:t>
      </w:r>
      <w:r>
        <w:rPr>
          <w:color w:themeColor="text1" w:val="000000"/>
          <w:sz w:val="22"/>
          <w:szCs w:val="22"/>
        </w:rPr>
        <w:t xml:space="preserve"> = 0.025) but not microglia (</w:t>
      </w:r>
      <w:r>
        <w:rPr>
          <w:i/>
          <w:iCs/>
          <w:color w:themeColor="text1" w:val="000000"/>
          <w:sz w:val="22"/>
          <w:szCs w:val="22"/>
        </w:rPr>
        <w:t xml:space="preserve">P</w:t>
      </w:r>
      <w:r>
        <w:rPr>
          <w:color w:themeColor="text1" w:val="000000"/>
          <w:sz w:val="22"/>
          <w:szCs w:val="22"/>
        </w:rPr>
        <w:t xml:space="preserve"> = 0.080). The mean of this end-to-end background was two- to six-fold larger than that of the matched null, confirming that selection circularity matters but does not fully reproduce the astrocyte signal. In addition, none of 28,361 proximity-based peak–gene links was independently supported by within-cell-type co-accessibility after Benjamini–Hochberg correction. The two COL21A1 candidate peaks were unusual relative to their matched backgrounds (empirical </w:t>
      </w:r>
      <w:r>
        <w:rPr>
          <w:i/>
          <w:iCs/>
          <w:color w:themeColor="text1" w:val="000000"/>
          <w:sz w:val="22"/>
          <w:szCs w:val="22"/>
        </w:rPr>
        <w:t xml:space="preserve">P</w:t>
      </w:r>
      <w:r>
        <w:rPr>
          <w:color w:themeColor="text1" w:val="000000"/>
          <w:sz w:val="22"/>
          <w:szCs w:val="22"/>
        </w:rPr>
        <w:t xml:space="preserve"> = 0.005 and 0.010), but their corrected </w:t>
      </w:r>
      <w:r>
        <w:rPr>
          <w:i/>
          <w:iCs/>
          <w:color w:themeColor="text1" w:val="000000"/>
          <w:sz w:val="22"/>
          <w:szCs w:val="22"/>
        </w:rPr>
        <w:t xml:space="preserve">Q</w:t>
      </w:r>
      <w:r>
        <w:rPr>
          <w:color w:themeColor="text1" w:val="000000"/>
          <w:sz w:val="22"/>
          <w:szCs w:val="22"/>
        </w:rPr>
        <w:t xml:space="preserve">-value was 0.86. The surviving result is therefore narrow: secretome-related RNA and accessibility changes are directionally coupled at the gene level in astrocytes, without identification of the causal peaks or regulatory loci.</w:t>
      </w:r>
    </w:p>
    <w:p>
      <w:pPr>
        <w:pStyle w:val="Heading2"/>
        <w:rPr>
          <w:color w:themeColor="text1" w:val="000000"/>
          <w:sz w:val="22"/>
          <w:szCs w:val="22"/>
        </w:rPr>
      </w:pPr>
      <w:r>
        <w:rPr>
          <w:color w:themeColor="text1" w:val="000000"/>
          <w:sz w:val="22"/>
          <w:szCs w:val="22"/>
        </w:rPr>
        <w:t xml:space="preserve">Calibrating what this design can support</w:t>
      </w:r>
    </w:p>
    <w:p>
      <w:pPr>
        <w:pStyle w:val="Normal"/>
        <w:rPr>
          <w:color w:themeColor="text1" w:val="000000"/>
          <w:sz w:val="22"/>
          <w:szCs w:val="22"/>
        </w:rPr>
      </w:pPr>
      <w:r>
        <w:rPr>
          <w:color w:themeColor="text1" w:val="000000"/>
          <w:sz w:val="22"/>
          <w:szCs w:val="22"/>
        </w:rPr>
        <w:t xml:space="preserve">Deposited single-nucleus data now supply much of what is claimed about human brain aging, yet the inferential capacity of the resulting designs is rarely measured. We calibrated the primary contrast — 8 young adults versus 9 older, clinically defined control donors — by donor-label permutation, and report it here, once the principal comparisons are in view, because it sets the terms on which every count in this paper should be read.</w:t>
      </w:r>
    </w:p>
    <w:p>
      <w:pPr>
        <w:pStyle w:val="Normal"/>
        <w:rPr>
          <w:color w:themeColor="text1" w:val="000000"/>
          <w:sz w:val="22"/>
          <w:szCs w:val="22"/>
        </w:rPr>
      </w:pPr>
      <w:r>
        <w:rPr>
          <w:color w:themeColor="text1" w:val="000000"/>
          <w:sz w:val="22"/>
          <w:szCs w:val="22"/>
        </w:rPr>
        <w:t xml:space="preserve">Donor labels were permuted 100 times within each cohort×cell-type combination and the complete donor-pseudobulk model was refitted (Table S1). Two properties of the design emerged. The first is favourable. The observed number of secretome-related associations exceeded the permutation null in microglia (empirical </w:t>
      </w:r>
      <w:r>
        <w:rPr>
          <w:i/>
          <w:color w:themeColor="text1" w:val="000000"/>
          <w:sz w:val="22"/>
          <w:szCs w:val="22"/>
        </w:rPr>
        <w:t xml:space="preserve">P</w:t>
      </w:r>
      <w:r>
        <w:rPr>
          <w:color w:themeColor="text1" w:val="000000"/>
          <w:sz w:val="22"/>
          <w:szCs w:val="22"/>
        </w:rPr>
        <w:t xml:space="preserve"> = 0.020), astrocytes (</w:t>
      </w:r>
      <w:r>
        <w:rPr>
          <w:i/>
          <w:color w:themeColor="text1" w:val="000000"/>
          <w:sz w:val="22"/>
          <w:szCs w:val="22"/>
        </w:rPr>
        <w:t xml:space="preserve">P</w:t>
      </w:r>
      <w:r>
        <w:rPr>
          <w:color w:themeColor="text1" w:val="000000"/>
          <w:sz w:val="22"/>
          <w:szCs w:val="22"/>
        </w:rPr>
        <w:t xml:space="preserve"> = 0.040), the vascular compartment (</w:t>
      </w:r>
      <w:r>
        <w:rPr>
          <w:i/>
          <w:color w:themeColor="text1" w:val="000000"/>
          <w:sz w:val="22"/>
          <w:szCs w:val="22"/>
        </w:rPr>
        <w:t xml:space="preserve">P</w:t>
      </w:r>
      <w:r>
        <w:rPr>
          <w:color w:themeColor="text1" w:val="000000"/>
          <w:sz w:val="22"/>
          <w:szCs w:val="22"/>
        </w:rPr>
        <w:t xml:space="preserve"> = 0.040), and OPCs (</w:t>
      </w:r>
      <w:r>
        <w:rPr>
          <w:i/>
          <w:color w:themeColor="text1" w:val="000000"/>
          <w:sz w:val="22"/>
          <w:szCs w:val="22"/>
        </w:rPr>
        <w:t xml:space="preserve">P</w:t>
      </w:r>
      <w:r>
        <w:rPr>
          <w:color w:themeColor="text1" w:val="000000"/>
          <w:sz w:val="22"/>
          <w:szCs w:val="22"/>
        </w:rPr>
        <w:t xml:space="preserve"> = 0.050), and the null median was zero in every compartment; oligodendrocytes did not exceed their null (five pairs, </w:t>
      </w:r>
      <w:r>
        <w:rPr>
          <w:i/>
          <w:color w:themeColor="text1" w:val="000000"/>
          <w:sz w:val="22"/>
          <w:szCs w:val="22"/>
        </w:rPr>
        <w:t xml:space="preserve">P</w:t>
      </w:r>
      <w:r>
        <w:rPr>
          <w:color w:themeColor="text1" w:val="000000"/>
          <w:sz w:val="22"/>
          <w:szCs w:val="22"/>
        </w:rPr>
        <w:t xml:space="preserve"> = 0.109). The second is not. Under a complete null, Benjamini–Hochberg control at level α bounds the probability that any gene is called significant by α, so at the genome-wide FDR &lt; 0.05 scope that probability should not exceed 0.05. The permutations returned at least one significant gene in 29–42% of draws and at least ten in 8–16%; GSE278576’s 10-versus-20 split gave 29–51% and 3–17%. Exceeding the bound by that margin is not a property of the procedure but evidence that the per-gene </w:t>
      </w:r>
      <w:r>
        <w:rPr>
          <w:i/>
          <w:color w:themeColor="text1" w:val="000000"/>
          <w:sz w:val="22"/>
          <w:szCs w:val="22"/>
        </w:rPr>
        <w:t xml:space="preserve">P</w:t>
      </w:r>
      <w:r>
        <w:rPr>
          <w:color w:themeColor="text1" w:val="000000"/>
          <w:sz w:val="22"/>
          <w:szCs w:val="22"/>
        </w:rPr>
        <w:t xml:space="preserve">-values are anti-conservative at this donor count, so the Benjamini–Hochberg guarantee does not hold here. Counts of significant genes are accordingly not an interpretable currency, and no expected number of false associations can be read off them.</w:t>
      </w:r>
    </w:p>
    <w:p>
      <w:pPr>
        <w:pStyle w:val="Normal"/>
        <w:rPr>
          <w:color w:themeColor="text1" w:val="000000"/>
          <w:sz w:val="22"/>
          <w:szCs w:val="22"/>
        </w:rPr>
      </w:pPr>
      <w:r>
        <w:rPr>
          <w:color w:themeColor="text1" w:val="000000"/>
          <w:sz w:val="22"/>
          <w:szCs w:val="22"/>
        </w:rPr>
        <w:t xml:space="preserve">Applying the same calibration to the genome-wide count at FDR &lt; 0.05 separates the strong arms from the weak. Astrocytes (</w:t>
      </w:r>
      <w:r>
        <w:rPr>
          <w:i/>
          <w:color w:themeColor="text1" w:val="000000"/>
          <w:sz w:val="22"/>
          <w:szCs w:val="22"/>
        </w:rPr>
        <w:t xml:space="preserve">P</w:t>
      </w:r>
      <w:r>
        <w:rPr>
          <w:color w:themeColor="text1" w:val="000000"/>
          <w:sz w:val="22"/>
          <w:szCs w:val="22"/>
        </w:rPr>
        <w:t xml:space="preserve"> = 0.030), microglia (</w:t>
      </w:r>
      <w:r>
        <w:rPr>
          <w:i/>
          <w:color w:themeColor="text1" w:val="000000"/>
          <w:sz w:val="22"/>
          <w:szCs w:val="22"/>
        </w:rPr>
        <w:t xml:space="preserve">P</w:t>
      </w:r>
      <w:r>
        <w:rPr>
          <w:color w:themeColor="text1" w:val="000000"/>
          <w:sz w:val="22"/>
          <w:szCs w:val="22"/>
        </w:rPr>
        <w:t xml:space="preserve"> = 0.030), and OPCs (</w:t>
      </w:r>
      <w:r>
        <w:rPr>
          <w:i/>
          <w:color w:themeColor="text1" w:val="000000"/>
          <w:sz w:val="22"/>
          <w:szCs w:val="22"/>
        </w:rPr>
        <w:t xml:space="preserve">P</w:t>
      </w:r>
      <w:r>
        <w:rPr>
          <w:color w:themeColor="text1" w:val="000000"/>
          <w:sz w:val="22"/>
          <w:szCs w:val="22"/>
        </w:rPr>
        <w:t xml:space="preserve"> = 0.050) exceeded their nulls, whereas oligodendrocytes (</w:t>
      </w:r>
      <w:r>
        <w:rPr>
          <w:i/>
          <w:color w:themeColor="text1" w:val="000000"/>
          <w:sz w:val="22"/>
          <w:szCs w:val="22"/>
        </w:rPr>
        <w:t xml:space="preserve">P</w:t>
      </w:r>
      <w:r>
        <w:rPr>
          <w:color w:themeColor="text1" w:val="000000"/>
          <w:sz w:val="22"/>
          <w:szCs w:val="22"/>
        </w:rPr>
        <w:t xml:space="preserve"> = 0.139) and the vascular compartment (</w:t>
      </w:r>
      <w:r>
        <w:rPr>
          <w:i/>
          <w:color w:themeColor="text1" w:val="000000"/>
          <w:sz w:val="22"/>
          <w:szCs w:val="22"/>
        </w:rPr>
        <w:t xml:space="preserve">P</w:t>
      </w:r>
      <w:r>
        <w:rPr>
          <w:color w:themeColor="text1" w:val="000000"/>
          <w:sz w:val="22"/>
          <w:szCs w:val="22"/>
        </w:rPr>
        <w:t xml:space="preserve"> = 0.069) fell inside the null’s 95th percentile. We therefore treat astrocytes, microglia, and OPCs as the compartments that carry demonstrable signal at both scopes, and report the oligodendrocyte and vascular arms as directionally consistent but not separable from their permutation nulls genome-wide. Empirical </w:t>
      </w:r>
      <w:r>
        <w:rPr>
          <w:i/>
          <w:color w:themeColor="text1" w:val="000000"/>
          <w:sz w:val="22"/>
          <w:szCs w:val="22"/>
        </w:rPr>
        <w:t xml:space="preserve">P</w:t>
      </w:r>
      <w:r>
        <w:rPr>
          <w:color w:themeColor="text1" w:val="000000"/>
          <w:sz w:val="22"/>
          <w:szCs w:val="22"/>
        </w:rPr>
        <w:t xml:space="preserve">-values cannot fall below 1/101 = 0.0099, and 100 draws do not exhaust the 24,310 distinct label assignments available (11,440 for the microglial and vascular comparisons, which are 7 versus 9 after the 10-nucleus threshold), so these values bound the evidence rather than estimate it precisely.</w:t>
      </w:r>
    </w:p>
    <w:p>
      <w:pPr>
        <w:pStyle w:val="Normal"/>
        <w:rPr>
          <w:color w:themeColor="text1" w:val="000000"/>
          <w:sz w:val="22"/>
          <w:szCs w:val="22"/>
        </w:rPr>
      </w:pPr>
      <w:r>
        <w:rPr>
          <w:color w:themeColor="text1" w:val="000000"/>
          <w:sz w:val="22"/>
          <w:szCs w:val="22"/>
        </w:rPr>
        <w:t xml:space="preserve">Multiple-testing scope was fixed in advance and is reported in both forms. Benjamini–Hochberg correction was applied within each cell type, so the 99,544 tests across the five niche classes form five families rather than one (the regenerated table returns 99,543; see Methods, Reproducibility). Treating all five as a single genome-wide family retains 49 of the 60 reported pairs and admits 4 new ones, all in oligodendrocytes (AZGP1, LTBP3, NRG1, and NXPE3). Because the predefined 60-pair set seeded every downstream accessibility, methylation, reproduction, receptor, and neuronal analysis, we retain the original set and report the alternative scope rather than silently replacing it.</w:t>
      </w:r>
    </w:p>
    <w:p>
      <w:pPr>
        <w:pStyle w:val="Normal"/>
        <w:rPr>
          <w:color w:themeColor="text1" w:val="000000"/>
          <w:sz w:val="22"/>
          <w:szCs w:val="22"/>
        </w:rPr>
      </w:pPr>
      <w:r>
        <w:rPr>
          <w:color w:themeColor="text1" w:val="000000"/>
          <w:sz w:val="22"/>
          <w:szCs w:val="22"/>
        </w:rPr>
        <w:t xml:space="preserve">The gene universe was defined as a union, and its stricter intersection is reported beside it. The 2,224-gene universe unions the Human Protein Atlas predicted-secreted annotation with reviewed UniProtKB secreted entries; 1,813 genes carry both. Ten of the 60 pairs rest on one annotation only — USH2A, CHST9, CRB2, KITLG and ANTXR2 in astrocytes, KDR and KITLG in the vascular compartment, ASAH1 in microglia, FGF13 in OPCs and EPHA3 in oligodendrocytes — and FGF13 is reported as intracellular in experimental work while KDR is a receptor. Restricting to the 50 pairs annotated by both sources leaves external direction concordance at 32 of 40 evaluable pairs (80%, against 39 of 48, or 81%, for the full set) and astrocyte gene-level RNA–accessibility concordance at 16 of 21 genes (against 20 of 26). Removing FGF13 alone cuts the OPC linked-peak count from 19 to 6 while leaving its remaining genes concordant. The reported results therefore do not depend on the more permissive annotations, although the OPC accessibility evidence is thin once its dominant gene is set aside.</w:t>
      </w:r>
    </w:p>
    <w:p>
      <w:pPr>
        <w:pStyle w:val="Normal"/>
        <w:rPr>
          <w:color w:themeColor="text1" w:val="000000"/>
          <w:sz w:val="22"/>
          <w:szCs w:val="22"/>
        </w:rPr>
      </w:pPr>
      <w:r>
        <w:rPr>
          <w:color w:themeColor="text1" w:val="000000"/>
          <w:sz w:val="22"/>
          <w:szCs w:val="22"/>
        </w:rPr>
        <w:t xml:space="preserve">Two consequences follow, and we hold to them throughout. Direction, not per-gene significance, is the unit of evidence this design can support; and no claim in this paper rests on a count of significant genes.</w:t>
      </w:r>
    </w:p>
    <w:p>
      <w:pPr>
        <w:pStyle w:val="Heading2"/>
        <w:rPr>
          <w:color w:themeColor="text1" w:val="000000"/>
          <w:sz w:val="22"/>
          <w:szCs w:val="22"/>
        </w:rPr>
      </w:pPr>
      <w:r>
        <w:rPr>
          <w:color w:themeColor="text1" w:val="000000"/>
          <w:sz w:val="22"/>
          <w:szCs w:val="22"/>
        </w:rPr>
        <w:t xml:space="preserve">DNA methylation does not provide independent evidence of coordination</w:t>
      </w:r>
    </w:p>
    <w:p>
      <w:pPr>
        <w:pStyle w:val="Normal"/>
        <w:rPr>
          <w:color w:themeColor="text1" w:val="000000"/>
          <w:sz w:val="22"/>
          <w:szCs w:val="22"/>
        </w:rPr>
      </w:pPr>
      <w:r>
        <w:rPr>
          <w:color w:themeColor="text1" w:val="000000"/>
          <w:sz w:val="22"/>
          <w:szCs w:val="22"/>
        </w:rPr>
        <w:t xml:space="preserve">We next examined the corresponding regulatory regions in the 40-donor GSE299139 snm3C dataset [18]. In the initial gene-level analysis, the astrocyte regions linked to the 60-pair set appeared to follow the RNA direction (matched-null </w:t>
      </w:r>
      <w:r>
        <w:rPr>
          <w:i/>
          <w:iCs/>
          <w:color w:themeColor="text1" w:val="000000"/>
          <w:sz w:val="22"/>
          <w:szCs w:val="22"/>
        </w:rPr>
        <w:t xml:space="preserve">P</w:t>
      </w:r>
      <w:r>
        <w:rPr>
          <w:color w:themeColor="text1" w:val="000000"/>
          <w:sz w:val="22"/>
          <w:szCs w:val="22"/>
        </w:rPr>
        <w:t xml:space="preserve"> = 0.018; sign-permutation </w:t>
      </w:r>
      <w:r>
        <w:rPr>
          <w:i/>
          <w:iCs/>
          <w:color w:themeColor="text1" w:val="000000"/>
          <w:sz w:val="22"/>
          <w:szCs w:val="22"/>
        </w:rPr>
        <w:t xml:space="preserve">P</w:t>
      </w:r>
      <w:r>
        <w:rPr>
          <w:color w:themeColor="text1" w:val="000000"/>
          <w:sz w:val="22"/>
          <w:szCs w:val="22"/>
        </w:rPr>
        <w:t xml:space="preserve"> = 0.043 across 25 genes). A separate, unadjusted region-level view contained 92 correlated regions and showed 65% concordance (Fig. S5). Because these summaries use different units and adjustments, they should not be interpreted as the same estimate.</w:t>
      </w:r>
    </w:p>
    <w:p>
      <w:pPr>
        <w:pStyle w:val="Normal"/>
        <w:ind w:firstLine="840"/>
        <w:rPr>
          <w:color w:themeColor="text1" w:val="000000"/>
          <w:sz w:val="22"/>
          <w:szCs w:val="22"/>
        </w:rPr>
      </w:pPr>
      <w:r>
        <w:rPr>
          <w:color w:themeColor="text1" w:val="000000"/>
          <w:sz w:val="22"/>
          <w:szCs w:val="22"/>
        </w:rPr>
        <w:t xml:space="preserve">Four controls showed that the apparent methylation signal was not specific to coordinated astrocyte RNA regulation. First, it appeared only after pooling the two astrocyte substates: Astro1 alone gave </w:t>
      </w:r>
      <w:r>
        <w:rPr>
          <w:i/>
          <w:iCs/>
          <w:color w:themeColor="text1" w:val="000000"/>
          <w:sz w:val="22"/>
          <w:szCs w:val="22"/>
        </w:rPr>
        <w:t xml:space="preserve">P</w:t>
      </w:r>
      <w:r>
        <w:rPr>
          <w:color w:themeColor="text1" w:val="000000"/>
          <w:sz w:val="22"/>
          <w:szCs w:val="22"/>
        </w:rPr>
        <w:t xml:space="preserve"> = 0.836 and Astro2 </w:t>
      </w:r>
      <w:r>
        <w:rPr>
          <w:i/>
          <w:iCs/>
          <w:color w:themeColor="text1" w:val="000000"/>
          <w:sz w:val="22"/>
          <w:szCs w:val="22"/>
        </w:rPr>
        <w:t xml:space="preserve">P</w:t>
      </w:r>
      <w:r>
        <w:rPr>
          <w:color w:themeColor="text1" w:val="000000"/>
          <w:sz w:val="22"/>
          <w:szCs w:val="22"/>
        </w:rPr>
        <w:t xml:space="preserve"> = 0.291, compared with </w:t>
      </w:r>
      <w:r>
        <w:rPr>
          <w:i/>
          <w:iCs/>
          <w:color w:themeColor="text1" w:val="000000"/>
          <w:sz w:val="22"/>
          <w:szCs w:val="22"/>
        </w:rPr>
        <w:t xml:space="preserve">P</w:t>
      </w:r>
      <w:r>
        <w:rPr>
          <w:color w:themeColor="text1" w:val="000000"/>
          <w:sz w:val="22"/>
          <w:szCs w:val="22"/>
        </w:rPr>
        <w:t xml:space="preserve"> = 0.018 when pooled. The age-associated change in substate composition was substantial (Astro1 contributed 0.639 of CG base calls in YA and 0.525 in HA) and by itself predicted 20.2% of the observed effect. Second, the result did not weaken when the same astrocyte methylation measurements were oriented by another cell type’s RNA. OPC RNA produced matched-null </w:t>
      </w:r>
      <w:r>
        <w:rPr>
          <w:i/>
          <w:iCs/>
          <w:color w:themeColor="text1" w:val="000000"/>
          <w:sz w:val="22"/>
          <w:szCs w:val="22"/>
        </w:rPr>
        <w:t xml:space="preserve">P</w:t>
      </w:r>
      <w:r>
        <w:rPr>
          <w:color w:themeColor="text1" w:val="000000"/>
          <w:sz w:val="22"/>
          <w:szCs w:val="22"/>
        </w:rPr>
        <w:t xml:space="preserve"> = 0.019 and sign-permutation </w:t>
      </w:r>
      <w:r>
        <w:rPr>
          <w:i/>
          <w:iCs/>
          <w:color w:themeColor="text1" w:val="000000"/>
          <w:sz w:val="22"/>
          <w:szCs w:val="22"/>
        </w:rPr>
        <w:t xml:space="preserve">P</w:t>
      </w:r>
      <w:r>
        <w:rPr>
          <w:color w:themeColor="text1" w:val="000000"/>
          <w:sz w:val="22"/>
          <w:szCs w:val="22"/>
        </w:rPr>
        <w:t xml:space="preserve"> = 0.025, similar to 0.020 and 0.030 for the matching astrocyte orientation; four of five mismatched orientations reached matched-null </w:t>
      </w:r>
      <w:r>
        <w:rPr>
          <w:i/>
          <w:iCs/>
          <w:color w:themeColor="text1" w:val="000000"/>
          <w:sz w:val="22"/>
          <w:szCs w:val="22"/>
        </w:rPr>
        <w:t xml:space="preserve">P</w:t>
      </w:r>
      <w:r>
        <w:rPr>
          <w:color w:themeColor="text1" w:val="000000"/>
          <w:sz w:val="22"/>
          <w:szCs w:val="22"/>
        </w:rPr>
        <w:t xml:space="preserve"> &lt; 0.06. Third, 155 RNA-significant non-secretome genes produced a comparable astrocyte result (</w:t>
      </w:r>
      <w:r>
        <w:rPr>
          <w:i/>
          <w:iCs/>
          <w:color w:themeColor="text1" w:val="000000"/>
          <w:sz w:val="22"/>
          <w:szCs w:val="22"/>
        </w:rPr>
        <w:t xml:space="preserve">P</w:t>
      </w:r>
      <w:r>
        <w:rPr>
          <w:color w:themeColor="text1" w:val="000000"/>
          <w:sz w:val="22"/>
          <w:szCs w:val="22"/>
        </w:rPr>
        <w:t xml:space="preserve"> = 0.023). Fourth, the observed mean of the matched cell-type diagonal (7.45×10</w:t>
      </w:r>
      <w:r>
        <w:rPr>
          <w:color w:themeColor="text1" w:val="000000"/>
          <w:sz w:val="22"/>
          <w:szCs w:val="22"/>
          <w:vertAlign w:val="superscript"/>
        </w:rPr>
        <w:t xml:space="preserve">−5</w:t>
      </w:r>
      <w:r>
        <w:rPr>
          <w:color w:themeColor="text1" w:val="000000"/>
          <w:sz w:val="22"/>
          <w:szCs w:val="22"/>
        </w:rPr>
        <w:t xml:space="preserve">) was indistinguishable from, and slightly below, the mean of 10,000 scrambled orientation grids (7.58×10</w:t>
      </w:r>
      <w:r>
        <w:rPr>
          <w:color w:themeColor="text1" w:val="000000"/>
          <w:sz w:val="22"/>
          <w:szCs w:val="22"/>
          <w:vertAlign w:val="superscript"/>
        </w:rPr>
        <w:t xml:space="preserve">−5</w:t>
      </w:r>
      <w:r>
        <w:rPr>
          <w:color w:themeColor="text1" w:val="000000"/>
          <w:sz w:val="22"/>
          <w:szCs w:val="22"/>
        </w:rPr>
        <w:t xml:space="preserve">; empirical </w:t>
      </w:r>
      <w:r>
        <w:rPr>
          <w:i/>
          <w:iCs/>
          <w:color w:themeColor="text1" w:val="000000"/>
          <w:sz w:val="22"/>
          <w:szCs w:val="22"/>
        </w:rPr>
        <w:t xml:space="preserve">P</w:t>
      </w:r>
      <w:r>
        <w:rPr>
          <w:color w:themeColor="text1" w:val="000000"/>
          <w:sz w:val="22"/>
          <w:szCs w:val="22"/>
        </w:rPr>
        <w:t xml:space="preserve"> = 0.333); none of the four diagonal cells ranked in the top decile.</w:t>
      </w:r>
    </w:p>
    <w:p>
      <w:pPr>
        <w:pStyle w:val="Normal"/>
        <w:ind w:firstLine="840"/>
        <w:rPr>
          <w:color w:themeColor="text1" w:val="000000"/>
          <w:sz w:val="22"/>
          <w:szCs w:val="22"/>
        </w:rPr>
      </w:pPr>
      <w:r>
        <w:rPr>
          <w:color w:themeColor="text1" w:val="000000"/>
          <w:sz w:val="22"/>
          <w:szCs w:val="22"/>
        </w:rPr>
        <w:t xml:space="preserve">Other apparent signals were also unstable. Region-level broad-set effects in microglia and oligodendrocytes disappeared after aggregation to genes, and the microglial analysis was further confounded by an age-related difference in cell-state composition. The remaining broad-set signal in OPCs corresponded to only 0.31 percentage points of methylation across 51 years, below the threshold of biological interpretability. We therefore describe this layer as a directionally non-specific mCG bias across secretome-linked regions, not as RNA–methylation coordination. It contributes no independent support to the astrocyte accessibility result, and snm3C cannot distinguish 5-methylcytosine from 5-hydroxymethylcytosine.</w:t>
      </w:r>
    </w:p>
    <w:p>
      <w:pPr>
        <w:pStyle w:val="Heading2"/>
        <w:rPr>
          <w:color w:themeColor="text1" w:val="000000"/>
          <w:sz w:val="22"/>
          <w:szCs w:val="22"/>
        </w:rPr>
      </w:pPr>
      <w:r>
        <w:rPr>
          <w:color w:themeColor="text1" w:val="000000"/>
          <w:sz w:val="22"/>
          <w:szCs w:val="22"/>
        </w:rPr>
        <w:t xml:space="preserve">The data do not identify an upstream regulator</w:t>
      </w:r>
    </w:p>
    <w:p>
      <w:pPr>
        <w:pStyle w:val="Normal"/>
        <w:rPr>
          <w:color w:themeColor="text1" w:val="000000"/>
          <w:sz w:val="22"/>
          <w:szCs w:val="22"/>
        </w:rPr>
      </w:pPr>
      <w:r>
        <w:rPr>
          <w:color w:themeColor="text1" w:val="000000"/>
          <w:sz w:val="22"/>
          <w:szCs w:val="22"/>
        </w:rPr>
        <w:t xml:space="preserve">The pre-specified mechanism analysis asked whether the aging-UP genes were driven by NF-κB, C/EBP, STAT, or IRF activity and whether the aging-DOWN genes reflected loss of ETS or Wnt/TCF homeostatic activity. Motif enrichment did not support that model: none of 300 motif×cell-type×direction tests reached adjusted </w:t>
      </w:r>
      <w:r>
        <w:rPr>
          <w:i/>
          <w:iCs/>
          <w:color w:themeColor="text1" w:val="000000"/>
          <w:sz w:val="22"/>
          <w:szCs w:val="22"/>
        </w:rPr>
        <w:t xml:space="preserve">P</w:t>
      </w:r>
      <w:r>
        <w:rPr>
          <w:color w:themeColor="text1" w:val="000000"/>
          <w:sz w:val="22"/>
          <w:szCs w:val="22"/>
        </w:rPr>
        <w:t xml:space="preserve"> &lt; 0.1 (Fig. 4). Ten tests reached nominal </w:t>
      </w:r>
      <w:r>
        <w:rPr>
          <w:i/>
          <w:iCs/>
          <w:color w:themeColor="text1" w:val="000000"/>
          <w:sz w:val="22"/>
          <w:szCs w:val="22"/>
        </w:rPr>
        <w:t xml:space="preserve">P</w:t>
      </w:r>
      <w:r>
        <w:rPr>
          <w:color w:themeColor="text1" w:val="000000"/>
          <w:sz w:val="22"/>
          <w:szCs w:val="22"/>
        </w:rPr>
        <w:t xml:space="preserve"> &lt; 0.05, but several pointed in the direction opposite to the one registered. The strongest was STAT3 in the astrocyte DOWN set (odds ratio 2.15, </w:t>
      </w:r>
      <w:r>
        <w:rPr>
          <w:i/>
          <w:iCs/>
          <w:color w:themeColor="text1" w:val="000000"/>
          <w:sz w:val="22"/>
          <w:szCs w:val="22"/>
        </w:rPr>
        <w:t xml:space="preserve">P</w:t>
      </w:r>
      <w:r>
        <w:rPr>
          <w:color w:themeColor="text1" w:val="000000"/>
          <w:sz w:val="22"/>
          <w:szCs w:val="22"/>
        </w:rPr>
        <w:t xml:space="preserve"> = 2.8×10</w:t>
      </w:r>
      <w:r>
        <w:rPr>
          <w:color w:themeColor="text1" w:val="000000"/>
          <w:sz w:val="22"/>
          <w:szCs w:val="22"/>
          <w:vertAlign w:val="superscript"/>
        </w:rPr>
        <w:t xml:space="preserve">−3</w:t>
      </w:r>
      <w:r>
        <w:rPr>
          <w:color w:themeColor="text1" w:val="000000"/>
          <w:sz w:val="22"/>
          <w:szCs w:val="22"/>
        </w:rPr>
        <w:t xml:space="preserve">, adjusted </w:t>
      </w:r>
      <w:r>
        <w:rPr>
          <w:i/>
          <w:iCs/>
          <w:color w:themeColor="text1" w:val="000000"/>
          <w:sz w:val="22"/>
          <w:szCs w:val="22"/>
        </w:rPr>
        <w:t xml:space="preserve">P</w:t>
      </w:r>
      <w:r>
        <w:rPr>
          <w:color w:themeColor="text1" w:val="000000"/>
          <w:sz w:val="22"/>
          <w:szCs w:val="22"/>
        </w:rPr>
        <w:t xml:space="preserve"> = 0.16), followed by STAT1 in the same DOWN set (</w:t>
      </w:r>
      <w:r>
        <w:rPr>
          <w:i/>
          <w:iCs/>
          <w:color w:themeColor="text1" w:val="000000"/>
          <w:sz w:val="22"/>
          <w:szCs w:val="22"/>
        </w:rPr>
        <w:t xml:space="preserve">P</w:t>
      </w:r>
      <w:r>
        <w:rPr>
          <w:color w:themeColor="text1" w:val="000000"/>
          <w:sz w:val="22"/>
          <w:szCs w:val="22"/>
        </w:rPr>
        <w:t xml:space="preserve"> = 0.034) and NFKB1 in the OPC DOWN set (</w:t>
      </w:r>
      <w:r>
        <w:rPr>
          <w:i/>
          <w:iCs/>
          <w:color w:themeColor="text1" w:val="000000"/>
          <w:sz w:val="22"/>
          <w:szCs w:val="22"/>
        </w:rPr>
        <w:t xml:space="preserve">P</w:t>
      </w:r>
      <w:r>
        <w:rPr>
          <w:color w:themeColor="text1" w:val="000000"/>
          <w:sz w:val="22"/>
          <w:szCs w:val="22"/>
        </w:rPr>
        <w:t xml:space="preserve"> = 0.042), although all three had been assigned to the UP hypothesis. Conversely, ETV4, assigned to the DOWN hypothesis, appeared nominally in the microglial UP set (</w:t>
      </w:r>
      <w:r>
        <w:rPr>
          <w:i/>
          <w:iCs/>
          <w:color w:themeColor="text1" w:val="000000"/>
          <w:sz w:val="22"/>
          <w:szCs w:val="22"/>
        </w:rPr>
        <w:t xml:space="preserve">P</w:t>
      </w:r>
      <w:r>
        <w:rPr>
          <w:color w:themeColor="text1" w:val="000000"/>
          <w:sz w:val="22"/>
          <w:szCs w:val="22"/>
        </w:rPr>
        <w:t xml:space="preserve"> = 0.025). Six other nominal tests involved the expected NF-κB/C/EBP/STAT/IRF motifs in astrocyte or microglial UP sets (</w:t>
      </w:r>
      <w:r>
        <w:rPr>
          <w:i/>
          <w:iCs/>
          <w:color w:themeColor="text1" w:val="000000"/>
          <w:sz w:val="22"/>
          <w:szCs w:val="22"/>
        </w:rPr>
        <w:t xml:space="preserve">P</w:t>
      </w:r>
      <w:r>
        <w:rPr>
          <w:color w:themeColor="text1" w:val="000000"/>
          <w:sz w:val="22"/>
          <w:szCs w:val="22"/>
        </w:rPr>
        <w:t xml:space="preserve"> = 0.029–0.043). The complete result is therefore FDR-null and does not support the proposed direction in either component.</w:t>
      </w:r>
    </w:p>
    <w:p>
      <w:pPr>
        <w:pStyle w:val="Normal"/>
        <w:ind w:firstLine="840"/>
        <w:rPr>
          <w:color w:themeColor="text1" w:val="000000"/>
          <w:sz w:val="22"/>
          <w:szCs w:val="22"/>
        </w:rPr>
      </w:pPr>
      <w:r>
        <w:rPr>
          <w:color w:themeColor="text1" w:val="000000"/>
          <w:sz w:val="22"/>
          <w:szCs w:val="22"/>
        </w:rPr>
        <w:t xml:space="preserve">Two additional measures reached the same boundary. Donor-level footprinting across all genomic motif sites found no FDR-significant change among 21 tests (Fig. 4D); all five nominal changes went toward shallower footprints with age, opposite to the proposed cis-activation. chromVAR motif activity was also FDR-null (Fig. 4B, C). Its nominal pattern was a loss of ETS, Wnt/TCF, and neural-bHLH activity, which is more consistent with weakening homeostatic regulation than with activation of one inflammatory master regulator.</w:t>
      </w:r>
    </w:p>
    <w:p>
      <w:pPr>
        <w:pStyle w:val="Normal"/>
        <w:ind w:firstLine="840"/>
        <w:rPr>
          <w:color w:themeColor="text1" w:val="000000"/>
          <w:sz w:val="22"/>
          <w:szCs w:val="22"/>
        </w:rPr>
      </w:pPr>
      <w:r>
        <w:rPr>
          <w:color w:themeColor="text1" w:val="000000"/>
          <w:sz w:val="22"/>
          <w:szCs w:val="22"/>
        </w:rPr>
        <w:t xml:space="preserve">The cognate transcription factors’ RNA did not rescue the model. Among motif×TF×cell-type combinations with nominal chromVAR evidence, 11 of 22 testable factors (50%) changed in the same direction as their motif. The matched background was 52.4% (stratified-permutation </w:t>
      </w:r>
      <w:r>
        <w:rPr>
          <w:i/>
          <w:iCs/>
          <w:color w:themeColor="text1" w:val="000000"/>
          <w:sz w:val="22"/>
          <w:szCs w:val="22"/>
        </w:rPr>
        <w:t xml:space="preserve">P</w:t>
      </w:r>
      <w:r>
        <w:rPr>
          <w:color w:themeColor="text1" w:val="000000"/>
          <w:sz w:val="22"/>
          <w:szCs w:val="22"/>
        </w:rPr>
        <w:t xml:space="preserve"> = 0.68; Mantel–Haenszel odds ratio 0.90). No factor was both concordant and FDR-significant, and 9 of 31 named factors were not robustly expressed in the cell type in which the motif changed. Only 3 of 14 testable directions agreed in GSE278576, with Spearman ρ = −0.015 (Fig. S6; per-combination values for all 31 foreground combinations in Table S3). This analysis is itself limited by a nominal-significance foreground and simplified motif-to-factor mapping, so it does not rule out transcription-factor involvement.</w:t>
      </w:r>
    </w:p>
    <w:p>
      <w:pPr>
        <w:pStyle w:val="Normal"/>
        <w:ind w:firstLine="840"/>
        <w:rPr>
          <w:color w:themeColor="text1" w:val="000000"/>
          <w:sz w:val="22"/>
          <w:szCs w:val="22"/>
        </w:rPr>
      </w:pPr>
      <w:r>
        <w:rPr>
          <w:color w:themeColor="text1" w:val="000000"/>
          <w:sz w:val="22"/>
          <w:szCs w:val="22"/>
        </w:rPr>
        <w:t xml:space="preserve">The orthogonal autocrine test was similarly uninformative. Under the NicheNet permutation null, 82–91% of all ligands passed, making ligand activity non-discriminative. The leading candidates, CCN2 and SPON1, failed subsequent ligand–receptor checks because the ligand was not robustly expressed or up-regulated, the receptors were not age-regulated, or external support was absent. With only 8 versus 9 donors, these negative results do not disprove a mechanism. They show that neither the pre-specified cis-regulatory model nor a simple autocrine model can be resolved from this cohort.</w:t>
      </w:r>
    </w:p>
    <w:p>
      <w:pPr>
        <w:pStyle w:val="Heading2"/>
        <w:rPr>
          <w:color w:themeColor="text1" w:val="000000"/>
          <w:sz w:val="22"/>
          <w:szCs w:val="22"/>
        </w:rPr>
      </w:pPr>
      <w:r>
        <w:rPr>
          <w:color w:themeColor="text1" w:val="000000"/>
          <w:sz w:val="22"/>
          <w:szCs w:val="22"/>
        </w:rPr>
        <w:t xml:space="preserve">Available sections show no detectable dentate-gyrus enrichment</w:t>
      </w:r>
    </w:p>
    <w:p>
      <w:pPr>
        <w:pStyle w:val="Normal"/>
        <w:rPr>
          <w:color w:themeColor="text1" w:val="000000"/>
          <w:sz w:val="22"/>
          <w:szCs w:val="22"/>
        </w:rPr>
      </w:pPr>
      <w:r>
        <w:rPr>
          <w:color w:themeColor="text1" w:val="000000"/>
          <w:sz w:val="22"/>
          <w:szCs w:val="22"/>
        </w:rPr>
        <w:t xml:space="preserve">In 34 quality-controlled Visium capture areas, none of the aging-UP signatures tracked the dentate-gyrus marker PROX1 (Fig. 5). Median within-section Spearman correlations were +0.003 for the astrocyte signature, +0.020 for the microglial signature, and −0.021 for the oligodendrocyte signature; median absolute correlations were 0.022, 0.021, and 0.040, respectively. We therefore found no evidence that the program was concentrated in the dentate gyrus. Because the available anterior sections do not sharply resolve that structure, the data establish neither dentate-gyrus exclusion nor uniform distribution across the hippocampus.</w:t>
      </w:r>
    </w:p>
    <w:p>
      <w:pPr>
        <w:pStyle w:val="Normal"/>
        <w:ind w:firstLine="840"/>
        <w:rPr>
          <w:color w:themeColor="text1" w:val="000000"/>
          <w:sz w:val="22"/>
          <w:szCs w:val="22"/>
        </w:rPr>
      </w:pPr>
      <w:r>
        <w:rPr>
          <w:color w:themeColor="text1" w:val="000000"/>
          <w:sz w:val="22"/>
          <w:szCs w:val="22"/>
        </w:rPr>
        <w:t xml:space="preserve">The wider cohort comparison set the other boundary of generalisability (Fig. S7). GSE278576 reproduced the pattern in its primary, sex-adjusted, and continuous-age models. GSE186538 was directionally supportive but lost most agreement after the single 79-year-old donor was removed. The glia-only GSE199243 comparison showed a signed-magnitude reproducibility of 0.02, with astrocyte WNT5B the only significant, concordant hit [20]. We therefore claim directional and effect-correlation reproduction in GSE278576, not broad signed-magnitude replication across every available cohort.</w:t>
      </w:r>
    </w:p>
    <w:p>
      <w:pPr>
        <w:pStyle w:val="Heading2"/>
        <w:rPr>
          <w:color w:themeColor="text1" w:val="000000"/>
          <w:sz w:val="22"/>
          <w:szCs w:val="22"/>
        </w:rPr>
      </w:pPr>
      <w:r>
        <w:rPr>
          <w:color w:themeColor="text1" w:val="000000"/>
          <w:sz w:val="22"/>
          <w:szCs w:val="22"/>
        </w:rPr>
        <w:t xml:space="preserve">Candidate receiver cells show no coordinated receptor response</w:t>
      </w:r>
    </w:p>
    <w:p>
      <w:pPr>
        <w:pStyle w:val="Normal"/>
        <w:rPr>
          <w:color w:themeColor="text1" w:val="000000"/>
          <w:sz w:val="22"/>
          <w:szCs w:val="22"/>
        </w:rPr>
      </w:pPr>
      <w:r>
        <w:rPr>
          <w:color w:themeColor="text1" w:val="000000"/>
          <w:sz w:val="22"/>
          <w:szCs w:val="22"/>
        </w:rPr>
        <w:t xml:space="preserve">A rise in secreted ligands need not be accompanied by a rise in their receptors. We tested that possibility directly using the 22 aging-UP ligands represented in the NicheNet network and their 76 cognate receptors (Fig. S8). Across five niche classes and three mature-neuron classes, no compartment passed the pre-specified criterion of an upward receptor-set shift with adjusted </w:t>
      </w:r>
      <w:r>
        <w:rPr>
          <w:i/>
          <w:iCs/>
          <w:color w:themeColor="text1" w:val="000000"/>
          <w:sz w:val="22"/>
          <w:szCs w:val="22"/>
        </w:rPr>
        <w:t xml:space="preserve">Q</w:t>
      </w:r>
      <w:r>
        <w:rPr>
          <w:color w:themeColor="text1" w:val="000000"/>
          <w:sz w:val="22"/>
          <w:szCs w:val="22"/>
        </w:rPr>
        <w:t xml:space="preserve"> &lt; 0.1. The directional matched-null </w:t>
      </w:r>
      <w:r>
        <w:rPr>
          <w:i/>
          <w:iCs/>
          <w:color w:themeColor="text1" w:val="000000"/>
          <w:sz w:val="22"/>
          <w:szCs w:val="22"/>
        </w:rPr>
        <w:t xml:space="preserve">Q</w:t>
      </w:r>
      <w:r>
        <w:rPr>
          <w:color w:themeColor="text1" w:val="000000"/>
          <w:sz w:val="22"/>
          <w:szCs w:val="22"/>
        </w:rPr>
        <w:t xml:space="preserve">-value was 0.986. No coordinated shift survived FDR in either direction (minimum two-sided </w:t>
      </w:r>
      <w:r>
        <w:rPr>
          <w:i/>
          <w:iCs/>
          <w:color w:themeColor="text1" w:val="000000"/>
          <w:sz w:val="22"/>
          <w:szCs w:val="22"/>
        </w:rPr>
        <w:t xml:space="preserve">Q</w:t>
      </w:r>
      <w:r>
        <w:rPr>
          <w:color w:themeColor="text1" w:val="000000"/>
          <w:sz w:val="22"/>
          <w:szCs w:val="22"/>
        </w:rPr>
        <w:t xml:space="preserve"> = 0.12), although microglia, dentate granule cells, and CA excitatory neurons showed nominal downward tendencies.</w:t>
      </w:r>
    </w:p>
    <w:p>
      <w:pPr>
        <w:pStyle w:val="Normal"/>
        <w:ind w:firstLine="840"/>
        <w:rPr>
          <w:color w:themeColor="text1" w:val="000000"/>
          <w:sz w:val="22"/>
          <w:szCs w:val="22"/>
        </w:rPr>
      </w:pPr>
      <w:r>
        <w:rPr>
          <w:color w:themeColor="text1" w:val="000000"/>
          <w:sz w:val="22"/>
          <w:szCs w:val="22"/>
        </w:rPr>
        <w:t xml:space="preserve">The three rare depositor-labelled populations provided no exception and were not interpreted as neurogenic receivers. In the NSC-labelled cluster, 40 of 76 receptor-universe genes entered the differential-expression table and 22 of those 40 remained testable after independent filtering. This matched the depth- and expression-matched expectation of 21.99 (</w:t>
      </w:r>
      <w:r>
        <w:rPr>
          <w:i/>
          <w:color w:themeColor="text1" w:val="000000"/>
          <w:sz w:val="22"/>
          <w:szCs w:val="22"/>
        </w:rPr>
        <w:t xml:space="preserve">P</w:t>
      </w:r>
      <w:r>
        <w:rPr>
          <w:color w:themeColor="text1" w:val="000000"/>
          <w:sz w:val="22"/>
          <w:szCs w:val="22"/>
        </w:rPr>
        <w:t xml:space="preserve"> = 0.68). The lower overall coverage of 22/76 therefore reflected shallow profiling of a rare population, not a demonstrated loss of receptor repertoire. The neuroblast- and immature-labelled clusters had saturated testability, which likewise provided no evidence of receptor depletion.</w:t>
      </w:r>
    </w:p>
    <w:p>
      <w:pPr>
        <w:pStyle w:val="Normal"/>
        <w:ind w:firstLine="840"/>
        <w:rPr>
          <w:color w:themeColor="text1" w:val="000000"/>
          <w:sz w:val="22"/>
          <w:szCs w:val="22"/>
        </w:rPr>
      </w:pPr>
      <w:r>
        <w:rPr>
          <w:color w:themeColor="text1" w:val="000000"/>
          <w:sz w:val="22"/>
          <w:szCs w:val="22"/>
        </w:rPr>
        <w:t xml:space="preserve">These results define a specific negative finding: the age-associated ligand program was not mirrored by coordinated receptor up-regulation in the candidate receiver populations. They do not show that ligand–receptor signalling is absent, nor do they address whether genuine neurogenic cells can respond to the program.</w:t>
      </w:r>
    </w:p>
    <w:p>
      <w:pPr>
        <w:pStyle w:val="Heading2"/>
        <w:rPr>
          <w:color w:themeColor="text1" w:val="000000"/>
          <w:sz w:val="22"/>
          <w:szCs w:val="22"/>
        </w:rPr>
      </w:pPr>
      <w:r>
        <w:rPr>
          <w:color w:themeColor="text1" w:val="000000"/>
          <w:sz w:val="22"/>
          <w:szCs w:val="22"/>
        </w:rPr>
        <w:t xml:space="preserve">Resilient granule-lineage cells remain transcriptionally close to controls</w:t>
      </w:r>
    </w:p>
    <w:p>
      <w:pPr>
        <w:pStyle w:val="Normal"/>
        <w:rPr>
          <w:color w:themeColor="text1" w:val="000000"/>
          <w:sz w:val="22"/>
          <w:szCs w:val="22"/>
        </w:rPr>
      </w:pPr>
      <w:r>
        <w:rPr>
          <w:color w:themeColor="text1" w:val="000000"/>
          <w:sz w:val="22"/>
          <w:szCs w:val="22"/>
        </w:rPr>
        <w:t xml:space="preserve">GSE325391 [22] offered a separate, descriptive view of hippocampal cognitive resilience. Granule-lineage cells from resilient donors differed from controls at only 2 genes, but differed from severe-AD donors at 37 genes; the largest changes by |log2 fold change| were higher FXYD1, OSMR, and ALOX5AP and lower CRTAC1 and TNS1 (Fig. 6). The resilient donors were older, not younger, than those in the severe-AD group (86 versus 81 years), although age could not be included as a covariate at this sample size. This pattern is compatible with relative transcriptional preservation despite pathology, but the evidence is limited. Differentially expressed gene counts are poorly calibrated in small cohorts, as the primary-cohort permutations showed, and this particular contrast was not pre-specified.</w:t>
      </w:r>
    </w:p>
    <w:p>
      <w:pPr>
        <w:pStyle w:val="Heading2"/>
        <w:rPr>
          <w:color w:themeColor="text1" w:val="000000"/>
          <w:sz w:val="22"/>
          <w:szCs w:val="22"/>
        </w:rPr>
      </w:pPr>
      <w:r>
        <w:rPr>
          <w:color w:themeColor="text1" w:val="000000"/>
          <w:sz w:val="22"/>
          <w:szCs w:val="22"/>
        </w:rPr>
        <w:t xml:space="preserve">Within-cohort disease and resilience projections set the limits of interpretation</w:t>
      </w:r>
    </w:p>
    <w:p>
      <w:pPr>
        <w:pStyle w:val="Normal"/>
        <w:rPr>
          <w:color w:themeColor="text1" w:val="000000"/>
          <w:sz w:val="22"/>
          <w:szCs w:val="22"/>
        </w:rPr>
      </w:pPr>
      <w:r>
        <w:rPr>
          <w:color w:themeColor="text1" w:val="000000"/>
          <w:sz w:val="22"/>
          <w:szCs w:val="22"/>
        </w:rPr>
        <w:t xml:space="preserve">We finally projected the predefined 60-pair aging signature into the AD group of GSE268609 and into the independent granule-lineage resilience dataset (Fig. S9). The AD comparison reused the discovery cohort and is therefore a self-consistency check under a three-group model, not an external reproduction test. Fifty-six of 60 pairs retained the YA-to-HA direction after refitting; none reversed. Among those 56, effect-size classification assigned 54 as maintained, 1 as amplified, 1 as attenuated in AD, and none as AD-divergent. Four additional pairs were weak or indeterminate at the classification boundary. The pattern was stable across all nine pre-specified thresholds, but only 5 of 56 pairs reached adjusted </w:t>
      </w:r>
      <w:r>
        <w:rPr>
          <w:i/>
          <w:iCs/>
          <w:color w:themeColor="text1" w:val="000000"/>
          <w:sz w:val="22"/>
          <w:szCs w:val="22"/>
        </w:rPr>
        <w:t xml:space="preserve">P</w:t>
      </w:r>
      <w:r>
        <w:rPr>
          <w:color w:themeColor="text1" w:val="000000"/>
          <w:sz w:val="22"/>
          <w:szCs w:val="22"/>
        </w:rPr>
        <w:t xml:space="preserve"> &lt; 0.1 in the direct AD-versus-HA contrast. Raw and ashr-shrunken classifications agreed for 83% of pairs. The most cautious conclusion is that the age-associated program appears largely retained and is not broadly amplified in the AD group; the analysis does not statistically establish maintenance or equivalence.</w:t>
      </w:r>
    </w:p>
    <w:p>
      <w:pPr>
        <w:pStyle w:val="Normal"/>
        <w:ind w:firstLine="840"/>
        <w:rPr>
          <w:color w:themeColor="text1" w:val="000000"/>
          <w:sz w:val="22"/>
          <w:szCs w:val="22"/>
        </w:rPr>
      </w:pPr>
      <w:r>
        <w:rPr>
          <w:color w:themeColor="text1" w:val="000000"/>
          <w:sz w:val="22"/>
          <w:szCs w:val="22"/>
        </w:rPr>
        <w:t xml:space="preserve">The pre-specified receiver-availability projection in GSE325391 [22] was null. The stage-averaged difference between susceptible severe-AD and resilient high-pathology donors was −0.07 z units (95% CI, −0.335 to 0.195; </w:t>
      </w:r>
      <w:r>
        <w:rPr>
          <w:i/>
          <w:iCs/>
          <w:color w:themeColor="text1" w:val="000000"/>
          <w:sz w:val="22"/>
          <w:szCs w:val="22"/>
        </w:rPr>
        <w:t xml:space="preserve">P</w:t>
      </w:r>
      <w:r>
        <w:rPr>
          <w:color w:themeColor="text1" w:val="000000"/>
          <w:sz w:val="22"/>
          <w:szCs w:val="22"/>
        </w:rPr>
        <w:t xml:space="preserve"> = 0.54; resilient </w:t>
      </w:r>
      <w:r>
        <w:rPr>
          <w:i/>
          <w:color w:themeColor="text1" w:val="000000"/>
          <w:sz w:val="22"/>
          <w:szCs w:val="22"/>
        </w:rPr>
        <w:t xml:space="preserve">n</w:t>
      </w:r>
      <w:r>
        <w:rPr>
          <w:color w:themeColor="text1" w:val="000000"/>
          <w:sz w:val="22"/>
          <w:szCs w:val="22"/>
        </w:rPr>
        <w:t xml:space="preserve"> = 6, susceptible </w:t>
      </w:r>
      <w:r>
        <w:rPr>
          <w:i/>
          <w:color w:themeColor="text1" w:val="000000"/>
          <w:sz w:val="22"/>
          <w:szCs w:val="22"/>
        </w:rPr>
        <w:t xml:space="preserve">n</w:t>
      </w:r>
      <w:r>
        <w:rPr>
          <w:color w:themeColor="text1" w:val="000000"/>
          <w:sz w:val="22"/>
          <w:szCs w:val="22"/>
        </w:rPr>
        <w:t xml:space="preserve"> = 7), and all planned variants gave the same conclusion. A predicted downstream program was also null for all 22 ligands. Because this cohort contains granule-lineage cells rather than the glial populations that produce the signature, the result concerns a predicted neuronal receiver state, not glial secretome-related expression.</w:t>
      </w:r>
    </w:p>
    <w:p>
      <w:pPr>
        <w:pStyle w:val="Normal"/>
        <w:ind w:firstLine="840"/>
        <w:rPr>
          <w:color w:themeColor="text1" w:val="000000"/>
          <w:sz w:val="22"/>
          <w:szCs w:val="22"/>
        </w:rPr>
      </w:pPr>
      <w:r>
        <w:rPr>
          <w:color w:themeColor="text1" w:val="000000"/>
          <w:sz w:val="22"/>
          <w:szCs w:val="22"/>
        </w:rPr>
        <w:t xml:space="preserve">Both projections are cross-sectional. MCI provides clinical context rather than a temporal intermediate, and no within-person progression or conversion is implied. Together, the analyses suggest that the signature is not broadly amplified in AD while providing no evidence that receptor availability distinguishes resilient from susceptible donors in the available cohort.</w:t>
      </w:r>
    </w:p>
    <w:p>
      <w:pPr>
        <w:pStyle w:val="Heading1"/>
        <w:rPr>
          <w:color w:themeColor="text1" w:val="000000"/>
          <w:sz w:val="24"/>
          <w:szCs w:val="24"/>
        </w:rPr>
      </w:pPr>
      <w:r>
        <w:rPr>
          <w:color w:themeColor="text1" w:val="000000"/>
          <w:sz w:val="24"/>
          <w:szCs w:val="24"/>
        </w:rPr>
        <w:t xml:space="preserve">Discussion</w:t>
      </w:r>
    </w:p>
    <w:p>
      <w:pPr>
        <w:pStyle w:val="Heading2"/>
        <w:rPr>
          <w:color w:themeColor="text1" w:val="000000"/>
          <w:sz w:val="22"/>
          <w:szCs w:val="22"/>
        </w:rPr>
      </w:pPr>
      <w:r>
        <w:rPr>
          <w:color w:themeColor="text1" w:val="000000"/>
          <w:sz w:val="22"/>
          <w:szCs w:val="22"/>
        </w:rPr>
        <w:t xml:space="preserve">Convergent evidence supports a broader program, not a uniquely privileged gene list</w:t>
      </w:r>
    </w:p>
    <w:p>
      <w:pPr>
        <w:pStyle w:val="Normal"/>
        <w:rPr>
          <w:color w:themeColor="text1" w:val="000000"/>
          <w:sz w:val="22"/>
          <w:szCs w:val="22"/>
        </w:rPr>
      </w:pPr>
      <w:r>
        <w:rPr>
          <w:color w:themeColor="text1" w:val="000000"/>
          <w:sz w:val="22"/>
          <w:szCs w:val="22"/>
        </w:rPr>
        <w:t xml:space="preserve">We consider first what the external comparisons do and do not license, because that boundary governs how the rest of the program should be read. The second human hippocampal cohort provided the strongest external support. Across shared secretome genes, age effects correlated modestly between cohorts, and 39 of 48 evaluable predefined pairs agreed in direction, corresponding to 81% concordance against a 58% external background. Donor-label permutations also supported the broader cross-cohort pattern. At the same time, genes matched for expression and primary-cohort effect size behaved similarly. The appropriate conclusion is therefore that a wider support-cell secretome-related aging pattern reappears across cohorts, not that every member of the selected 60-pair set is uniquely or universally reproducible.</w:t>
      </w:r>
    </w:p>
    <w:p>
      <w:pPr>
        <w:pStyle w:val="Normal"/>
        <w:ind w:firstLine="840"/>
        <w:rPr>
          <w:color w:themeColor="text1" w:val="000000"/>
          <w:sz w:val="22"/>
          <w:szCs w:val="22"/>
        </w:rPr>
      </w:pPr>
      <w:r>
        <w:rPr>
          <w:color w:themeColor="text1" w:val="000000"/>
          <w:sz w:val="22"/>
          <w:szCs w:val="22"/>
        </w:rPr>
        <w:t xml:space="preserve">The senescence and proteomic comparisons supply complementary biological context. Astrocyte and microglial aging-UP programs were enriched for SenMayo and SASP Atlas genes [13,14], and the direction of the expression program showed agreement with proteins associated with cognitive trajectory in dorsolateral prefrontal cortex [15]. The CSF association was stronger for the extended than for the core gene set [16]. These convergences are encouraging because they connect nuclear RNA with independent protein behaviour, but none directly measures secretion from the same hippocampal cells. We therefore interpret the program as senescence-aligned and secretome-related, not as proof of cellular senescence or measured hippocampal secretion.</w:t>
      </w:r>
    </w:p>
    <w:p>
      <w:pPr>
        <w:pStyle w:val="Normal"/>
        <w:ind w:firstLine="840"/>
        <w:rPr>
          <w:color w:themeColor="text1" w:val="000000"/>
          <w:sz w:val="22"/>
          <w:szCs w:val="22"/>
        </w:rPr>
      </w:pPr>
      <w:r>
        <w:rPr>
          <w:color w:themeColor="text1" w:val="000000"/>
          <w:sz w:val="22"/>
          <w:szCs w:val="22"/>
        </w:rPr>
        <w:t xml:space="preserve">This distinction matters for intervention design. The SASP is heterogeneous and can include adaptive repair signals as well as chronically harmful inflammatory or matrix-remodelling factors [12,14]. Broad elimination of all program-producing cells or suppression of all extracellular products would therefore be premature. A better strategy is to resolve which components preserve homeostasis, which become maladaptive, and which can be selectively restored, buffered, or blocked. In a tauopathy model, clearing senescent glial cells altered pathology and preserved cognition [34], providing a disease-model proof of principle for glial intervention rather than evidence that the same intervention is appropriate in control aging.</w:t>
      </w:r>
    </w:p>
    <w:p>
      <w:pPr>
        <w:pStyle w:val="Heading2"/>
        <w:rPr>
          <w:color w:themeColor="text1" w:val="000000"/>
          <w:sz w:val="22"/>
          <w:szCs w:val="22"/>
        </w:rPr>
      </w:pPr>
      <w:r>
        <w:rPr>
          <w:color w:themeColor="text1" w:val="000000"/>
          <w:sz w:val="22"/>
          <w:szCs w:val="22"/>
        </w:rPr>
        <w:t xml:space="preserve">A directionally stable but mechanistically unresolved support-cell program</w:t>
      </w:r>
    </w:p>
    <w:p>
      <w:pPr>
        <w:pStyle w:val="Normal"/>
        <w:rPr>
          <w:color w:themeColor="text1" w:val="000000"/>
          <w:sz w:val="22"/>
          <w:szCs w:val="22"/>
        </w:rPr>
      </w:pPr>
      <w:r>
        <w:rPr>
          <w:color w:themeColor="text1" w:val="000000"/>
          <w:sz w:val="22"/>
          <w:szCs w:val="22"/>
        </w:rPr>
        <w:t xml:space="preserve">This study identifies an age-associated shift in the transcriptional program encoding extracellular proteins across support-cell compartments of the human hippocampus. The signal was not driven by one dominant marker or one cell population. It combined increased extracellular-matrix and matricellular transcripts in astrocytes, increased inflammatory transcripts in microglia, changes in oligodendrocyte-lineage cells, and lower expression of selected vascular factors. All 60 gene–cell-type pairs retained their direction when individual donors were omitted, and four of the five support-cell compartments contained more secretome-related associations than expected after donor labels were permuted — three of them also on the genome-wide count. The resulting picture is one of coordinated but modest remodelling across several cellular contributors to the local tissue environment.</w:t>
      </w:r>
    </w:p>
    <w:p>
      <w:pPr>
        <w:pStyle w:val="Normal"/>
        <w:ind w:firstLine="840"/>
        <w:rPr>
          <w:color w:themeColor="text1" w:val="000000"/>
          <w:sz w:val="22"/>
          <w:szCs w:val="22"/>
        </w:rPr>
      </w:pPr>
      <w:r>
        <w:rPr>
          <w:color w:themeColor="text1" w:val="000000"/>
          <w:sz w:val="22"/>
          <w:szCs w:val="22"/>
        </w:rPr>
        <w:t xml:space="preserve">The most informative comparison was with mature neurons from the same donors. Dentate granule, CA excitatory, and inhibitory neurons did not broadly reproduce the 60-pair program: their directional concordance did not exceed their own secretome backgrounds, and they produced fewer de novo secretome-related associations under the preparation-adjusted model. This does not mean that neurons were unchanged. Inhibitory neurons, for example, showed a descriptive inflammatory response of their own, and a weak tissue-wide aging component cannot be excluded. Rather, the data indicate that the specific 60-pair program is enriched among niche-supporting cells instead of representing a uniform transcriptional response shared across hippocampal cell classes. Experimental work has shown that activated microglia can induce reactive astrocyte states [33], but the present ligand and regulatory analyses do not identify the route connecting the microglial and astrocyte arms.</w:t>
      </w:r>
    </w:p>
    <w:p>
      <w:pPr>
        <w:pStyle w:val="Normal"/>
        <w:ind w:firstLine="840"/>
        <w:rPr>
          <w:color w:themeColor="text1" w:val="000000"/>
          <w:sz w:val="22"/>
          <w:szCs w:val="22"/>
        </w:rPr>
      </w:pPr>
      <w:r>
        <w:rPr>
          <w:color w:themeColor="text1" w:val="000000"/>
          <w:sz w:val="22"/>
          <w:szCs w:val="22"/>
        </w:rPr>
        <w:t xml:space="preserve">This distinction broadens the biological question. Neuronal dysfunction remains central to cognitive aging, but neurons do not age in isolation. Changes in matrix composition, inflammatory tone, trophic support, myelin-associated signals, or vascular function could alter neuronal physiology without requiring widespread reproduction of the same transcriptional program inside neurons. The present results therefore complement neuron-centred models rather than replacing them.</w:t>
      </w:r>
    </w:p>
    <w:p>
      <w:pPr>
        <w:pStyle w:val="Heading2"/>
        <w:rPr>
          <w:color w:themeColor="text1" w:val="000000"/>
          <w:sz w:val="22"/>
          <w:szCs w:val="22"/>
        </w:rPr>
      </w:pPr>
      <w:r>
        <w:rPr>
          <w:color w:themeColor="text1" w:val="000000"/>
          <w:sz w:val="22"/>
          <w:szCs w:val="22"/>
        </w:rPr>
        <w:t xml:space="preserve">A neurogenesis-agnostic route into human hippocampal aging</w:t>
      </w:r>
    </w:p>
    <w:p>
      <w:pPr>
        <w:pStyle w:val="Normal"/>
        <w:rPr>
          <w:color w:themeColor="text1" w:val="000000"/>
          <w:sz w:val="22"/>
          <w:szCs w:val="22"/>
        </w:rPr>
      </w:pPr>
      <w:r>
        <w:rPr>
          <w:color w:themeColor="text1" w:val="000000"/>
          <w:sz w:val="22"/>
          <w:szCs w:val="22"/>
        </w:rPr>
        <w:t xml:space="preserve">The study offers a way to investigate the human hippocampal niche without making its conclusions depend on the unresolved abundance of adult-born neurons. The three rare deposited populations labelled as neural stem cells, neuroblasts, and immature neurons were not sufficiently supported by marker-level or classifier analyses to serve as reliable neurogenic readouts. Crucially, none was needed to define the principal result. Every member of the 60-pair program arose from astrocytes, microglia, oligodendrocytes, OPCs, or the mixed vascular compartment.</w:t>
      </w:r>
    </w:p>
    <w:p>
      <w:pPr>
        <w:pStyle w:val="Normal"/>
        <w:ind w:firstLine="840"/>
        <w:rPr>
          <w:color w:themeColor="text1" w:val="000000"/>
          <w:sz w:val="22"/>
          <w:szCs w:val="22"/>
        </w:rPr>
      </w:pPr>
      <w:r>
        <w:rPr>
          <w:color w:themeColor="text1" w:val="000000"/>
          <w:sz w:val="22"/>
          <w:szCs w:val="22"/>
        </w:rPr>
        <w:t xml:space="preserve">We use “neurogenesis-agnostic” in an analytical sense. The data do not show that the identified pathways are biologically independent of neurogenesis, nor do they establish whether genuine adult-born neurons respond to them. Instead, the framework remains informative under different positions in the neurogenesis debate. If adult neurogenesis is substantial, the extracellular program may influence progenitor maintenance or maturation. If it is sparse, the same program may still affect mature-neuron function, glial homeostasis, vascular integrity, and hippocampal resilience. This makes support-cell-derived extracellular biology a stable point of entry into a field where one cellular endpoint remains contested [1–4].</w:t>
      </w:r>
    </w:p>
    <w:p>
      <w:pPr>
        <w:pStyle w:val="Heading2"/>
        <w:rPr>
          <w:color w:themeColor="text1" w:val="000000"/>
          <w:sz w:val="22"/>
          <w:szCs w:val="22"/>
        </w:rPr>
      </w:pPr>
      <w:r>
        <w:rPr>
          <w:color w:themeColor="text1" w:val="000000"/>
          <w:sz w:val="22"/>
          <w:szCs w:val="22"/>
        </w:rPr>
        <w:t xml:space="preserve">The extracellular program opens a tractable experimental search space</w:t>
      </w:r>
    </w:p>
    <w:p>
      <w:pPr>
        <w:pStyle w:val="Normal"/>
        <w:rPr>
          <w:color w:themeColor="text1" w:val="000000"/>
          <w:sz w:val="22"/>
          <w:szCs w:val="22"/>
        </w:rPr>
      </w:pPr>
      <w:r>
        <w:rPr>
          <w:color w:themeColor="text1" w:val="000000"/>
          <w:sz w:val="22"/>
          <w:szCs w:val="22"/>
        </w:rPr>
        <w:t xml:space="preserve">Although the present analysis is observational, its extracellular focus suggests testable routes to causality. Experimental work has shown that age-associated cellular or cognitive outcomes can be modified through microglial phagocytic pathways [6], myeloid metabolic state [7], vascular inflammatory signalling [8], extracellular-matrix mechanics [9], and circulating exercise factors [10]. Young cerebrospinal-fluid factors can also alter oligodendrocyte-lineage activity and memory in aged animals [11]. These precedents support a general principle: changes in the cellular environment can be biologically active and, at least in model systems, modifiable. They do not show that the present 60 pairs are therapeutic targets.</w:t>
      </w:r>
    </w:p>
    <w:p>
      <w:pPr>
        <w:pStyle w:val="Normal"/>
        <w:ind w:firstLine="840"/>
        <w:rPr>
          <w:color w:themeColor="text1" w:val="000000"/>
          <w:sz w:val="22"/>
          <w:szCs w:val="22"/>
        </w:rPr>
      </w:pPr>
      <w:r>
        <w:rPr>
          <w:color w:themeColor="text1" w:val="000000"/>
          <w:sz w:val="22"/>
          <w:szCs w:val="22"/>
        </w:rPr>
        <w:t xml:space="preserve">The current gene set should therefore be treated as a map of candidates rather than a treatment list. A practical next step is to perturb prioritised astrocyte, microglial, and vascular ligands individually and in combinations using CRISPR interference or activation, ideally in pooled designs with single-cell readouts [35]. Human induced-pluripotent-stem-cell-derived co-cultures or organoid systems that incorporate microglia or vascular-like components [36,37] could then test whether ligand blockade, add-back, or matrix modification changes mature-neuron electrophysiology, synaptic integrity, metabolic stress, or vulnerability to inflammatory challenge. These outcomes do not require adult neurogenesis and therefore directly implement the neurogenesis-agnostic logic of the study. Parallel assays of progenitor behaviour could be added where a validated neurogenic population is available.</w:t>
      </w:r>
    </w:p>
    <w:p>
      <w:pPr>
        <w:pStyle w:val="Normal"/>
        <w:ind w:firstLine="840"/>
        <w:rPr>
          <w:color w:themeColor="text1" w:val="000000"/>
          <w:sz w:val="22"/>
          <w:szCs w:val="22"/>
        </w:rPr>
      </w:pPr>
      <w:r>
        <w:rPr>
          <w:color w:themeColor="text1" w:val="000000"/>
          <w:sz w:val="22"/>
          <w:szCs w:val="22"/>
        </w:rPr>
        <w:t xml:space="preserve">The strongest candidates need not be those with the largest RNA effect. Priority should instead reflect convergence across donor stability, external direction, protein detection, receptor availability, and experimental tractability. Such a framework could distinguish cases in which restoring a vascular or trophic factor is more appropriate than suppressing an inflammatory one, or in which buffering a maladaptive matrix state is preferable to eliminating the cells that generate it.</w:t>
      </w:r>
    </w:p>
    <w:p>
      <w:pPr>
        <w:pStyle w:val="Heading2"/>
        <w:rPr>
          <w:color w:themeColor="text1" w:val="000000"/>
          <w:sz w:val="22"/>
          <w:szCs w:val="22"/>
        </w:rPr>
      </w:pPr>
      <w:r>
        <w:rPr>
          <w:color w:themeColor="text1" w:val="000000"/>
          <w:sz w:val="22"/>
          <w:szCs w:val="22"/>
        </w:rPr>
        <w:t xml:space="preserve">The regulatory results define the next experiments</w:t>
      </w:r>
    </w:p>
    <w:p>
      <w:pPr>
        <w:pStyle w:val="Normal"/>
        <w:rPr>
          <w:color w:themeColor="text1" w:val="000000"/>
          <w:sz w:val="22"/>
          <w:szCs w:val="22"/>
        </w:rPr>
      </w:pPr>
      <w:r>
        <w:rPr>
          <w:color w:themeColor="text1" w:val="000000"/>
          <w:sz w:val="22"/>
          <w:szCs w:val="22"/>
        </w:rPr>
        <w:t xml:space="preserve">The present multiomic data did not identify a single upstream driver. RNA and accessibility showed above-background directional agreement only in astrocytes and only after linked peaks were collapsed to genes. No individual peak survived genome-wide correction, no peak–gene link survived the co-accessibility test, and DNA methylation failed the specificity controls. Motif, transcription-factor RNA, footprinting, and simple autocrine analyses were also unable to resolve a regulator. These negative findings prevent a premature NF-κB-, IRF-, or STAT-centred mechanism from being presented as established.</w:t>
      </w:r>
    </w:p>
    <w:p>
      <w:pPr>
        <w:pStyle w:val="Normal"/>
        <w:ind w:firstLine="840"/>
        <w:rPr>
          <w:color w:themeColor="text1" w:val="000000"/>
          <w:sz w:val="22"/>
          <w:szCs w:val="22"/>
        </w:rPr>
      </w:pPr>
      <w:r>
        <w:rPr>
          <w:color w:themeColor="text1" w:val="000000"/>
          <w:sz w:val="22"/>
          <w:szCs w:val="22"/>
        </w:rPr>
        <w:t xml:space="preserve">They also specify what is needed next. Higher-depth, donor-matched multiome profiling should separate support-cell substates before testing age effects and should provide enough coverage to model enhancer–gene relationships within each compartment. CUT&amp;RUN or ChIP-based measurements of candidate transcription-factor occupancy could distinguish motif presence from active binding. Candidate enhancers could then be tested by CRISPR interference, followed by measurement of both the transcript and the extracellular protein. Perturbation with single-cell readouts would help determine whether the program is driven by several modest regulators rather than by one master factor [35].</w:t>
      </w:r>
    </w:p>
    <w:p>
      <w:pPr>
        <w:pStyle w:val="Heading2"/>
        <w:rPr>
          <w:color w:themeColor="text1" w:val="000000"/>
          <w:sz w:val="22"/>
          <w:szCs w:val="22"/>
        </w:rPr>
      </w:pPr>
      <w:r>
        <w:rPr>
          <w:color w:themeColor="text1" w:val="000000"/>
          <w:sz w:val="22"/>
          <w:szCs w:val="22"/>
        </w:rPr>
        <w:t xml:space="preserve">Each present limitation points to a concrete next test</w:t>
      </w:r>
    </w:p>
    <w:p>
      <w:pPr>
        <w:pStyle w:val="Normal"/>
        <w:rPr>
          <w:color w:themeColor="text1" w:val="000000"/>
          <w:sz w:val="22"/>
          <w:szCs w:val="22"/>
        </w:rPr>
      </w:pPr>
      <w:r>
        <w:rPr>
          <w:color w:themeColor="text1" w:val="000000"/>
          <w:sz w:val="22"/>
          <w:szCs w:val="22"/>
        </w:rPr>
        <w:t xml:space="preserve">The first limitation is cohort size and post-mortem heterogeneity. The primary comparison included 8 young and 9 older clinically defined control donors, with effective numbers of 7 versus 9 in microglia and the vascular compartment. Most importantly, joint adjustment reduced retained hits to 12/60 under ~arm + pmi + group and 0/60 under the four-term ~sex + arm + pmi + group model, even though all 60 directions were unchanged. Because PMI was partly collinear with age group and the full model left only 11–12 residual degrees of freedom, these results cannot establish either the presence or the absence of confounding; they show that the directional program is more stable than per-gene adjusted significance. The individual covariates are themselves imbalanced or unpowered: the sex ratio was 2 female to 6 male in young adults versus 5 female to 4 male in aged donors (Fisher’s exact test </w:t>
      </w:r>
      <w:r>
        <w:rPr>
          <w:i/>
          <w:iCs/>
          <w:color w:themeColor="text1" w:val="000000"/>
          <w:sz w:val="22"/>
          <w:szCs w:val="22"/>
        </w:rPr>
        <w:t xml:space="preserve">P</w:t>
      </w:r>
      <w:r>
        <w:rPr>
          <w:color w:themeColor="text1" w:val="000000"/>
          <w:sz w:val="22"/>
          <w:szCs w:val="22"/>
        </w:rPr>
        <w:t xml:space="preserve"> = 0.34, unpowered rather than balanced), post-mortem interval differed modestly between groups (5.84 versus 7.67 h, </w:t>
      </w:r>
      <w:r>
        <w:rPr>
          <w:i/>
          <w:iCs/>
          <w:color w:themeColor="text1" w:val="000000"/>
          <w:sz w:val="22"/>
          <w:szCs w:val="22"/>
        </w:rPr>
        <w:t xml:space="preserve">P</w:t>
      </w:r>
      <w:r>
        <w:rPr>
          <w:color w:themeColor="text1" w:val="000000"/>
          <w:sz w:val="22"/>
          <w:szCs w:val="22"/>
        </w:rPr>
        <w:t xml:space="preserve"> = 0.081), and the two preparation arms were imbalanced across the contrast (dentate-microdissection fraction 75% in young adults versus 56% in aged donors), although the arm-adjusted model left the per-cell-type fold-change correlation at 0.955–0.973. Medication, agonal state, RNA integrity, tissue pH, ancestry, and quantitative neuropathology are absent from the deposits altogether, so none of these could be modelled. Moreover, the older controls were clinically defined rather than pathology-free: three had Braak stage 4 and two had LATE stage 1. A multicentre study with balanced sampling, continuous age, quantitative neuropathology, cognition, vascular risk, medication, sex, ancestry, and technical covariates is therefore required. The donor table is itself unresolved: the source study lists 39 rows against 38 reported participants, three pairs of rows agree on all eleven recorded clinical and demographic fields, and a cross-arm expression-similarity test marks one of those pairs as an outlier among all 64 cross-arm same-group pairs (mean Spearman 0.912, z = +2.23; 0 of 61 non-candidate pairs reach z ≥ 2). Genotype-based donor verification from raw sequence data would resolve this and establish the effective sample size unambiguously.</w:t>
      </w:r>
    </w:p>
    <w:p>
      <w:pPr>
        <w:pStyle w:val="Normal"/>
        <w:ind w:firstLine="840"/>
        <w:rPr>
          <w:color w:themeColor="text1" w:val="000000"/>
          <w:sz w:val="22"/>
          <w:szCs w:val="22"/>
        </w:rPr>
      </w:pPr>
      <w:r>
        <w:rPr>
          <w:color w:themeColor="text1" w:val="000000"/>
          <w:sz w:val="22"/>
          <w:szCs w:val="22"/>
        </w:rPr>
        <w:t xml:space="preserve">The second limitation is that single-nucleus RNA measures nuclear transcripts, not extracellular protein release. This can be addressed by combining cell-type-resolved RNA with spatial proteomics, multiplexed protein imaging, and secretome assays from experimentally aged human support-cell cultures. Tissue and matched CSF measurements would help determine which transcriptional modules reach an extracellular compartment in vivo. Stable-isotope labelling or pulse–chase approaches could further distinguish newly secreted proteins from accumulated matrix components. These experiments should test both abundance and biological activity.</w:t>
      </w:r>
    </w:p>
    <w:p>
      <w:pPr>
        <w:pStyle w:val="Normal"/>
        <w:ind w:firstLine="840"/>
        <w:rPr>
          <w:color w:themeColor="text1" w:val="000000"/>
          <w:sz w:val="22"/>
          <w:szCs w:val="22"/>
        </w:rPr>
      </w:pPr>
      <w:r>
        <w:rPr>
          <w:color w:themeColor="text1" w:val="000000"/>
          <w:sz w:val="22"/>
          <w:szCs w:val="22"/>
        </w:rPr>
        <w:t xml:space="preserve">Third, support-cell enrichment remains relative rather than absolute. The neuron comparison used the same donors, which controls donor background but is not an external neuronal reproduction study. Future cohorts should profile support cells and mature neurons together and test a formal cell-type-by-age interaction. Greater depth, ambient-RNA-aware models, and orthogonal protein localisation would help determine whether the neuronal inflammatory signal is cell-intrinsic or partly derived from surrounding glia.</w:t>
      </w:r>
    </w:p>
    <w:p>
      <w:pPr>
        <w:pStyle w:val="Normal"/>
        <w:ind w:firstLine="840"/>
        <w:rPr>
          <w:color w:themeColor="text1" w:val="000000"/>
          <w:sz w:val="22"/>
          <w:szCs w:val="22"/>
        </w:rPr>
      </w:pPr>
      <w:r>
        <w:rPr>
          <w:color w:themeColor="text1" w:val="000000"/>
          <w:sz w:val="22"/>
          <w:szCs w:val="22"/>
        </w:rPr>
        <w:t xml:space="preserve">The rare deposited labels present a separate annotation limitation. Although marker panels argued against their neurogenic labels, the synthetic-doublet classifier also labelled 44% of ependymal cells as heterotypic doublets, and the absence of an empty-droplet matrix prevents separation of doublets, ambient RNA, and incorrect label transfer. DecontX reclustering supported the neuroblast and immature-neuron reinterpretations at all three resolutions, but supported the NSC-to-astrocyte assignment at only two; at the third resolution the cluster had purity 0.51. These findings justify excluding the clusters as neurogenic readouts, but not claiming that every alternative identity has been proved. Future datasets should retain raw droplet matrices and combine donor-aware genotype-based doublet detection, higher-depth reference mapping, and orthogonal RNA or protein imaging of the candidate populations.</w:t>
      </w:r>
    </w:p>
    <w:p>
      <w:pPr>
        <w:pStyle w:val="Normal"/>
        <w:ind w:firstLine="840"/>
        <w:rPr>
          <w:color w:themeColor="text1" w:val="000000"/>
          <w:sz w:val="22"/>
          <w:szCs w:val="22"/>
        </w:rPr>
      </w:pPr>
      <w:r>
        <w:rPr>
          <w:color w:themeColor="text1" w:val="000000"/>
          <w:sz w:val="22"/>
          <w:szCs w:val="22"/>
        </w:rPr>
        <w:t xml:space="preserve">Fourth, the vascular population was mixed. Endothelial restriction preserved the direction of all 11 original effects but reduced donors, nuclei, and statistical support, leaving it unclear which changes belong to endothelial cells, pericytes, vascular leptomeningeal cells, or other mural populations. Enrichment or sorting of vascular nuclei, combined with higher-depth single-cell profiling and vascular protein imaging, should resolve these compartments. This is particularly important because disruption of the human hippocampal blood–brain barrier has been linked to aging [5].</w:t>
      </w:r>
    </w:p>
    <w:p>
      <w:pPr>
        <w:pStyle w:val="Normal"/>
        <w:ind w:firstLine="840"/>
        <w:rPr>
          <w:color w:themeColor="text1" w:val="000000"/>
          <w:sz w:val="22"/>
          <w:szCs w:val="22"/>
        </w:rPr>
      </w:pPr>
      <w:r>
        <w:rPr>
          <w:color w:themeColor="text1" w:val="000000"/>
          <w:sz w:val="22"/>
          <w:szCs w:val="22"/>
        </w:rPr>
        <w:t xml:space="preserve">Fifth, the available Visium sections lacked the resolution and anatomical coverage needed for a definitive subregional map. The absence of detectable colocalisation with PROX1 therefore means that dentate-gyrus enrichment was not observed at the available resolution; it does not prove uniformity across the hippocampus. High-resolution spatial transcriptomics, in situ RNA imaging, and multiplexed protein measurements should sample dentate gyrus, CA fields, subiculum, vascular territories, and the anterior–posterior axis in the same donors. Transcriptome-scale super-resolved RNA imaging provides one technical route to this goal [38].</w:t>
      </w:r>
    </w:p>
    <w:p>
      <w:pPr>
        <w:pStyle w:val="Normal"/>
        <w:ind w:firstLine="840"/>
        <w:rPr>
          <w:color w:themeColor="text1" w:val="000000"/>
          <w:sz w:val="22"/>
          <w:szCs w:val="22"/>
        </w:rPr>
      </w:pPr>
      <w:r>
        <w:rPr>
          <w:color w:themeColor="text1" w:val="000000"/>
          <w:sz w:val="22"/>
          <w:szCs w:val="22"/>
        </w:rPr>
        <w:t xml:space="preserve">Sixth, external reproduction was meaningful but incomplete. GSE278576 reproduced the broader directional program, whereas the supporting vascular cohort depended heavily on one older donor and another glial cohort showed little signed-magnitude agreement. Future replication should use larger, prospectively selected hippocampal series with harmonised anatomical sampling and a predefined analysis. Effect- and expression-matched nulls should remain part of the design so that broad reproducibility can be separated from the specificity of the nominated genes.</w:t>
      </w:r>
    </w:p>
    <w:p>
      <w:pPr>
        <w:pStyle w:val="Normal"/>
        <w:ind w:firstLine="840"/>
        <w:rPr>
          <w:color w:themeColor="text1" w:val="000000"/>
          <w:sz w:val="22"/>
          <w:szCs w:val="22"/>
        </w:rPr>
      </w:pPr>
      <w:r>
        <w:rPr>
          <w:color w:themeColor="text1" w:val="000000"/>
          <w:sz w:val="22"/>
          <w:szCs w:val="22"/>
        </w:rPr>
        <w:t xml:space="preserve">Seventh, senescence remains an interpretation rather than an identified cell state. Future studies should combine secretome-related RNA with orthogonal measures of persistent cell-cycle arrest, DNA-damage response, lysosomal state, chromatin remodelling, and direct protein secretion. Single-cell state analysis should distinguish transiently reactive cells from persistently senescence-like populations. Functional experiments should compare selective ligand modulation with broader senolytic or senomorphic interventions, because suppressing an adaptive component of the response could be counterproductive.</w:t>
      </w:r>
    </w:p>
    <w:p>
      <w:pPr>
        <w:pStyle w:val="Normal"/>
        <w:ind w:firstLine="840"/>
        <w:rPr>
          <w:color w:themeColor="text1" w:val="000000"/>
          <w:sz w:val="22"/>
          <w:szCs w:val="22"/>
        </w:rPr>
      </w:pPr>
      <w:r>
        <w:rPr>
          <w:color w:themeColor="text1" w:val="000000"/>
          <w:sz w:val="22"/>
          <w:szCs w:val="22"/>
        </w:rPr>
        <w:t xml:space="preserve">Finally, the Alzheimer’s-disease and resilience projections are descriptive. The aging program appeared largely retained rather than broadly amplified in Alzheimer’s disease, but the comparison reused the discovery cohort, did not establish equivalence, and was not covariate-adjusted on the disease axis, where Alzheimer’s-disease and healthy-aging donors differ in post-mortem interval (5.65 versus 7.67 h). The independent resilience analysis measured a predicted neuronal receiver state, not glial production of the program, and was small. A direct next test is to profile the six available SuperAger donors and larger independent resilience cohorts in the same support-cell compartments used for discovery. Linking tissue or CSF protein modules to longitudinal memory trajectories would determine whether the program predicts preserved function, vulnerability, or neither.</w:t>
      </w:r>
    </w:p>
    <w:p>
      <w:pPr>
        <w:pStyle w:val="Heading2"/>
        <w:rPr>
          <w:color w:themeColor="text1" w:val="000000"/>
          <w:sz w:val="22"/>
          <w:szCs w:val="22"/>
        </w:rPr>
      </w:pPr>
      <w:r>
        <w:rPr>
          <w:color w:themeColor="text1" w:val="000000"/>
          <w:sz w:val="22"/>
          <w:szCs w:val="22"/>
        </w:rPr>
        <w:t xml:space="preserve">Implications for healthy aging</w:t>
      </w:r>
    </w:p>
    <w:p>
      <w:pPr>
        <w:pStyle w:val="Normal"/>
        <w:rPr>
          <w:color w:themeColor="text1" w:val="000000"/>
          <w:sz w:val="22"/>
          <w:szCs w:val="22"/>
        </w:rPr>
      </w:pPr>
      <w:r>
        <w:rPr>
          <w:color w:themeColor="text1" w:val="000000"/>
          <w:sz w:val="22"/>
          <w:szCs w:val="22"/>
        </w:rPr>
        <w:t xml:space="preserve">The discovery contrast was defined between younger and older donors who were clinically classified as controls, and it did not depend on the Alzheimer’s-disease comparison. This makes the program relevant to aging outside diagnosed dementia, although the older group cannot be described as neuropathology-free. That distinction is important for prevention. Molecular changes that emerge before a clinical disease label may offer opportunities to preserve tissue function, but only if they are shown to be causal, measurable, and safely modifiable.</w:t>
      </w:r>
    </w:p>
    <w:p>
      <w:pPr>
        <w:pStyle w:val="Normal"/>
        <w:ind w:firstLine="840"/>
        <w:rPr>
          <w:color w:themeColor="text1" w:val="000000"/>
          <w:sz w:val="22"/>
          <w:szCs w:val="22"/>
        </w:rPr>
      </w:pPr>
      <w:r>
        <w:rPr>
          <w:color w:themeColor="text1" w:val="000000"/>
          <w:sz w:val="22"/>
          <w:szCs w:val="22"/>
        </w:rPr>
        <w:t xml:space="preserve">The present study did not measure quality of life and does not identify a treatment. Its contribution is earlier in the translational chain: it expands the search space from neuronal deterioration alone to extracellular pathways produced by support cells. If future studies connect these pathways to longitudinal memory, daily function, or resilience, they could inform interventions intended to maintain hippocampal health and, ultimately, independence in later life. The encouraging point is not that a therapy has already been found, but that the aging hippocampal environment contains experimentally testable biology beyond irreversible neuronal loss.</w:t>
      </w:r>
    </w:p>
    <w:p>
      <w:pPr>
        <w:pStyle w:val="Heading2"/>
        <w:rPr>
          <w:color w:themeColor="text1" w:val="000000"/>
          <w:sz w:val="22"/>
          <w:szCs w:val="22"/>
        </w:rPr>
      </w:pPr>
      <w:r>
        <w:rPr>
          <w:color w:themeColor="text1" w:val="000000"/>
          <w:sz w:val="22"/>
          <w:szCs w:val="22"/>
        </w:rPr>
        <w:t xml:space="preserve">Conclusions: what this design can and cannot sustain</w:t>
      </w:r>
    </w:p>
    <w:p>
      <w:pPr>
        <w:pStyle w:val="Normal"/>
        <w:rPr>
          <w:color w:themeColor="text1" w:val="000000"/>
          <w:sz w:val="22"/>
          <w:szCs w:val="22"/>
        </w:rPr>
      </w:pPr>
      <w:r>
        <w:rPr>
          <w:color w:themeColor="text1" w:val="000000"/>
          <w:sz w:val="22"/>
          <w:szCs w:val="22"/>
        </w:rPr>
        <w:t xml:space="preserve">Three findings survived every control we applied. Human hippocampal aging is accompanied by a directionally stable secretome-related program in support-cell compartments: all 60 gene–cell-type pairs retained their sign in every leave-one-donor-out refit, 57 of 57 testable directions survived ambient-RNA correction, and the direction reproduced in an independent hippocampal cohort (Spearman ρ = 0.24; 81% sign concordance against a 58% background, </w:t>
      </w:r>
      <w:r>
        <w:rPr>
          <w:i/>
          <w:color w:themeColor="text1" w:val="000000"/>
          <w:sz w:val="22"/>
          <w:szCs w:val="22"/>
        </w:rPr>
        <w:t xml:space="preserve">P</w:t>
      </w:r>
      <w:r>
        <w:rPr>
          <w:color w:themeColor="text1" w:val="000000"/>
          <w:sz w:val="22"/>
          <w:szCs w:val="22"/>
        </w:rPr>
        <w:t xml:space="preserve"> = 5×10</w:t>
      </w:r>
      <w:r>
        <w:rPr>
          <w:color w:themeColor="text1" w:val="000000"/>
          <w:sz w:val="22"/>
          <w:szCs w:val="22"/>
          <w:vertAlign w:val="superscript"/>
        </w:rPr>
        <w:t xml:space="preserve">−4</w:t>
      </w:r>
      <w:r>
        <w:rPr>
          <w:color w:themeColor="text1" w:val="000000"/>
          <w:sz w:val="22"/>
          <w:szCs w:val="22"/>
        </w:rPr>
        <w:t xml:space="preserve">). The program is support-cell-weighted rather than tissue-wide: mature dentate granule, CA excitatory, and inhibitory neurons from the same donors did not reproduce it above their own secretome backgrounds and yielded 4, 3, and 0 de novo associations against 17, 11, 7, 6, and 6 in the five support-cell compartments. And in astrocytes, RNA and chromatin accessibility were directionally coupled at the gene level — 20 of 26 genes across 160 linked peaks — surviving a gene-matched null, a sign-permutation null, leave-one-gene-out analysis, and an end-to-end donor-label permutation that repeated gene selection itself (</w:t>
      </w:r>
      <w:r>
        <w:rPr>
          <w:i/>
          <w:color w:themeColor="text1" w:val="000000"/>
          <w:sz w:val="22"/>
          <w:szCs w:val="22"/>
        </w:rPr>
        <w:t xml:space="preserve">P</w:t>
      </w:r>
      <w:r>
        <w:rPr>
          <w:color w:themeColor="text1" w:val="000000"/>
          <w:sz w:val="22"/>
          <w:szCs w:val="22"/>
        </w:rPr>
        <w:t xml:space="preserve"> = 0.025).</w:t>
      </w:r>
    </w:p>
    <w:p>
      <w:pPr>
        <w:pStyle w:val="Normal"/>
        <w:ind w:firstLine="840"/>
        <w:rPr>
          <w:color w:themeColor="text1" w:val="000000"/>
          <w:sz w:val="22"/>
          <w:szCs w:val="22"/>
        </w:rPr>
      </w:pPr>
      <w:r>
        <w:rPr>
          <w:color w:themeColor="text1" w:val="000000"/>
          <w:sz w:val="22"/>
          <w:szCs w:val="22"/>
        </w:rPr>
        <w:t xml:space="preserve">Four claims did not survive. Genes matched for expression and primary-cohort effect size reproduced as well as the selected pairs (</w:t>
      </w:r>
      <w:r>
        <w:rPr>
          <w:i/>
          <w:color w:themeColor="text1" w:val="000000"/>
          <w:sz w:val="22"/>
          <w:szCs w:val="22"/>
        </w:rPr>
        <w:t xml:space="preserve">P</w:t>
      </w:r>
      <w:r>
        <w:rPr>
          <w:color w:themeColor="text1" w:val="000000"/>
          <w:sz w:val="22"/>
          <w:szCs w:val="22"/>
        </w:rPr>
        <w:t xml:space="preserve"> = 0.146 and </w:t>
      </w:r>
      <w:r>
        <w:rPr>
          <w:i/>
          <w:color w:themeColor="text1" w:val="000000"/>
          <w:sz w:val="22"/>
          <w:szCs w:val="22"/>
        </w:rPr>
        <w:t xml:space="preserve">P</w:t>
      </w:r>
      <w:r>
        <w:rPr>
          <w:color w:themeColor="text1" w:val="000000"/>
          <w:sz w:val="22"/>
          <w:szCs w:val="22"/>
        </w:rPr>
        <w:t xml:space="preserve"> = 0.187 at tight matching), so the external agreement supports a broader secretome-related pattern and not the specificity of these 60 pairs. An apparent RNA–methylation coordination failed all four specificity controls, including orientation by a non-matching cell type and a matched diagonal indistinguishable from 10,000 scrambled grids. No upstream regulator was identifiable: 0 of 300 motif tests and 0 of 21 footprint tests reached FDR significance, and cognate transcription-factor RNA followed its motif in 11 of 22 testable combinations against a 52.4% matched background. No candidate receiver compartment showed coordinated receptor up-regulation (8 of 8 confirmatory tests failed; directional </w:t>
      </w:r>
      <w:r>
        <w:rPr>
          <w:i/>
          <w:color w:themeColor="text1" w:val="000000"/>
          <w:sz w:val="22"/>
          <w:szCs w:val="22"/>
        </w:rPr>
        <w:t xml:space="preserve">Q</w:t>
      </w:r>
      <w:r>
        <w:rPr>
          <w:color w:themeColor="text1" w:val="000000"/>
          <w:sz w:val="22"/>
          <w:szCs w:val="22"/>
        </w:rPr>
        <w:t xml:space="preserve"> = 0.986). Joint adjustment for sex, preparation arm, post-mortem interval, and group retained 0 of 60 pairs at adjusted </w:t>
      </w:r>
      <w:r>
        <w:rPr>
          <w:i/>
          <w:color w:themeColor="text1" w:val="000000"/>
          <w:sz w:val="22"/>
          <w:szCs w:val="22"/>
        </w:rPr>
        <w:t xml:space="preserve">P</w:t>
      </w:r>
      <w:r>
        <w:rPr>
          <w:color w:themeColor="text1" w:val="000000"/>
          <w:sz w:val="22"/>
          <w:szCs w:val="22"/>
        </w:rPr>
        <w:t xml:space="preserve"> &lt; 0.1, and the three-term model without sex retained 12 of 60, while all 60 directions remained unchanged — a result that neither establishes nor excludes confounding, but that marks precisely where per-gene inference stops.</w:t>
      </w:r>
    </w:p>
    <w:p>
      <w:pPr>
        <w:pStyle w:val="Normal"/>
        <w:rPr>
          <w:color w:themeColor="text1" w:val="000000"/>
          <w:sz w:val="22"/>
          <w:szCs w:val="22"/>
        </w:rPr>
      </w:pPr>
      <w:r>
        <w:rPr>
          <w:color w:themeColor="text1" w:val="000000"/>
          <w:sz w:val="22"/>
          <w:szCs w:val="22"/>
        </w:rPr>
        <w:t xml:space="preserve">Two further results concern the data rather than the biology. Donor-label permutation showed that under a complete null this design returns at least one gene significant at FDR &lt; 0.05 in 29–42% of draws, against a bound of 0.05: the per-gene </w:t>
      </w:r>
      <w:r>
        <w:rPr>
          <w:i/>
          <w:color w:themeColor="text1" w:val="000000"/>
          <w:sz w:val="22"/>
          <w:szCs w:val="22"/>
        </w:rPr>
        <w:t xml:space="preserve">P</w:t>
      </w:r>
      <w:r>
        <w:rPr>
          <w:color w:themeColor="text1" w:val="000000"/>
          <w:sz w:val="22"/>
          <w:szCs w:val="22"/>
        </w:rPr>
        <w:t xml:space="preserve">-values are anti-conservative at this donor count, so hit counts at this scale cannot be read as false-discovery estimates. And three depositor-assigned rare cell labels were not supported by marker-panel or classifier re-analysis: 0.9% of NSC-labelled nuclei retained their label, against 83–99.8% retention for established cell types. We excluded those populations from every conclusion, and note that any reanalysis inheriting such labels uncritically will inherit the error.</w:t>
      </w:r>
    </w:p>
    <w:p>
      <w:pPr>
        <w:pStyle w:val="Normal"/>
        <w:rPr>
          <w:color w:themeColor="text1" w:val="000000"/>
          <w:sz w:val="22"/>
          <w:szCs w:val="22"/>
        </w:rPr>
      </w:pPr>
      <w:r>
        <w:rPr>
          <w:color w:themeColor="text1" w:val="000000"/>
          <w:sz w:val="22"/>
          <w:szCs w:val="22"/>
        </w:rPr>
        <w:t xml:space="preserve">What remains is a directionally reproducible, mechanistically unresolved support-cell aging program, delivered together with an explicit account of its evidentiary boundary. That boundary defines the experiments that would move it: direct protein measurement in the compartments nominated here, cell-type-resolved profiling at depth sufficient to model enhancer–gene relationships within a compartment, a formal cell-type-by-age interaction test in a cohort powered for it, and perturbation with single-cell readouts in human multicellular models. We report the negative results at the same length as the positive ones because, at this sample size, knowing which inferences fail is the more transferable result.</w:t>
      </w:r>
    </w:p>
    <w:p>
      <w:pPr>
        <w:pStyle w:val="Heading1"/>
        <w:rPr>
          <w:color w:themeColor="text1" w:val="000000"/>
          <w:sz w:val="24"/>
          <w:szCs w:val="24"/>
        </w:rPr>
      </w:pPr>
      <w:r>
        <w:rPr>
          <w:color w:themeColor="text1" w:val="000000"/>
          <w:sz w:val="24"/>
          <w:szCs w:val="24"/>
        </w:rPr>
        <w:t xml:space="preserve">Statements and declarations</w:t>
      </w:r>
    </w:p>
    <w:p>
      <w:pPr>
        <w:pStyle w:val="Normal"/>
        <w:rPr>
          <w:color w:themeColor="text1" w:val="000000"/>
          <w:sz w:val="22"/>
          <w:szCs w:val="22"/>
        </w:rPr>
      </w:pPr>
      <w:r>
        <w:rPr>
          <w:b/>
          <w:bCs/>
          <w:color w:themeColor="text1" w:val="000000"/>
          <w:sz w:val="22"/>
          <w:szCs w:val="22"/>
        </w:rPr>
        <w:t xml:space="preserve">Funding:</w:t>
      </w:r>
      <w:r>
        <w:rPr>
          <w:color w:themeColor="text1" w:val="000000"/>
          <w:sz w:val="22"/>
          <w:szCs w:val="22"/>
        </w:rPr>
        <w:t xml:space="preserve"> This work was supported by JSPS KAKENHI Grant Number JP23K10962.</w:t>
      </w:r>
    </w:p>
    <w:p>
      <w:pPr>
        <w:pStyle w:val="Normal"/>
        <w:rPr>
          <w:color w:themeColor="text1" w:val="000000"/>
          <w:sz w:val="22"/>
          <w:szCs w:val="22"/>
        </w:rPr>
      </w:pPr>
      <w:r>
        <w:rPr>
          <w:b/>
          <w:bCs/>
          <w:color w:themeColor="text1" w:val="000000"/>
          <w:sz w:val="22"/>
          <w:szCs w:val="22"/>
        </w:rPr>
        <w:t xml:space="preserve">Competing interests:</w:t>
      </w:r>
      <w:r>
        <w:rPr>
          <w:color w:themeColor="text1" w:val="000000"/>
          <w:sz w:val="22"/>
          <w:szCs w:val="22"/>
        </w:rPr>
        <w:t xml:space="preserve"> The author declares no competing interests.</w:t>
      </w:r>
    </w:p>
    <w:p>
      <w:pPr>
        <w:pStyle w:val="Normal"/>
        <w:rPr>
          <w:color w:themeColor="text1" w:val="000000"/>
          <w:sz w:val="22"/>
          <w:szCs w:val="22"/>
        </w:rPr>
      </w:pPr>
      <w:r>
        <w:rPr>
          <w:b/>
          <w:bCs/>
          <w:color w:themeColor="text1" w:val="000000"/>
          <w:sz w:val="22"/>
          <w:szCs w:val="22"/>
        </w:rPr>
        <w:t xml:space="preserve">Ethics approval:</w:t>
      </w:r>
      <w:r>
        <w:rPr>
          <w:color w:themeColor="text1" w:val="000000"/>
          <w:sz w:val="22"/>
          <w:szCs w:val="22"/>
        </w:rPr>
        <w:t xml:space="preserve"> This study used publicly available, de-identified data and required no new ethics review.</w:t>
      </w:r>
    </w:p>
    <w:p>
      <w:pPr>
        <w:pStyle w:val="Normal"/>
        <w:rPr>
          <w:color w:themeColor="text1" w:val="000000"/>
          <w:sz w:val="22"/>
          <w:szCs w:val="22"/>
        </w:rPr>
      </w:pPr>
      <w:r>
        <w:rPr>
          <w:b/>
          <w:bCs/>
          <w:color w:themeColor="text1" w:val="000000"/>
          <w:sz w:val="22"/>
          <w:szCs w:val="22"/>
        </w:rPr>
        <w:t xml:space="preserve">Use of AI tools: AI-assisted tools (Claude Code, Anthropic; Codex CLI, OpenAI) were used for portions of the code implementation, debugging, manuscript drafting, and editing. They were used interactively under the author’s direction, and all outputs were reviewed by the author. All analytical decisions, statistical models, and scientific interpretations were determined and verified by the author, who takes full responsibility for the content, code, and conclusions. The AI tools are not listed as authors. Prior to submission, separate AI sessions were used for adversarial robustness re-checks (Claude, Anthropic) and for editorial review and proofreading (Claude, Anthropic; GPT, OpenAI). These were additional automated passes over the author’s own work, not review by an independent investigator, and their findings were verified against source data by the author before any were acted on.</w:t>
      </w:r>
    </w:p>
    <w:p>
      <w:pPr>
        <w:pStyle w:val="Normal"/>
        <w:rPr>
          <w:b/>
          <w:bCs/>
          <w:color w:themeColor="text1" w:val="000000"/>
          <w:sz w:val="22"/>
          <w:szCs w:val="22"/>
        </w:rPr>
      </w:pPr>
      <w:r>
        <w:rPr>
          <w:b/>
          <w:bCs/>
          <w:color w:themeColor="text1" w:val="000000"/>
          <w:sz w:val="22"/>
          <w:szCs w:val="22"/>
        </w:rPr>
        <w:t xml:space="preserve">Data availability</w:t>
      </w:r>
    </w:p>
    <w:p>
      <w:pPr>
        <w:pStyle w:val="Normal"/>
        <w:rPr>
          <w:color w:themeColor="text1" w:val="000000"/>
          <w:sz w:val="22"/>
          <w:szCs w:val="22"/>
        </w:rPr>
      </w:pPr>
      <w:r>
        <w:rPr>
          <w:color w:themeColor="text1" w:val="000000"/>
          <w:sz w:val="22"/>
          <w:szCs w:val="22"/>
        </w:rPr>
        <w:t xml:space="preserve">All primary and secondary datasets are publicly available under GSE268609 [17], GSE278576 and GSE299139 [18], GSE186538 [19], GSE199243 [20], GSE264692 [21], and GSE325391 [22]. External resources were the Human Protein Atlas [24], UniProtKB [25], SenMayo (MSigDB SAUL_SEN_MAYO) [13], the SASP Atlas [14], the brain-proteome cognitive-trajectory dataset [15], the CSF aging proteome [16], NicheNet v2 priors (https://doi.org/10.5281/zenodo.7074291) [31], BSgenome.Hsapiens.UCSC.hg38, and JASPAR2020 CORE vertebrate motifs for human (taxonomy 9606) [30]. Processed intermediates are not redistributed: the analysis matrices exceed 50 GB and are regenerable from the deposits above by the documented workflow, subject to the ingestion limit stated in Methods. The code archive contains the pre-specified analysis documents and the result tables underlying the reported numbers, including the donor-label permutation calibration, the effect-size-matched reproduction background, and the external donor-label permutation null, each with a provenance record. It is deposited at https://doi.org/10.5281/zenodo.22640702 and developed at https://github.com/kojishimozaki/human-hippocampal-aging-secretome.</w:t>
      </w:r>
    </w:p>
    <w:p>
      <w:pPr>
        <w:pStyle w:val="Normal"/>
        <w:rPr>
          <w:b/>
          <w:bCs/>
          <w:color w:themeColor="text1" w:val="000000"/>
          <w:sz w:val="22"/>
          <w:szCs w:val="22"/>
        </w:rPr>
      </w:pPr>
      <w:r>
        <w:rPr>
          <w:b/>
          <w:bCs/>
          <w:color w:themeColor="text1" w:val="000000"/>
          <w:sz w:val="22"/>
          <w:szCs w:val="22"/>
        </w:rPr>
        <w:t xml:space="preserve">Code availability</w:t>
      </w:r>
    </w:p>
    <w:p>
      <w:pPr>
        <w:pStyle w:val="Normal"/>
        <w:rPr>
          <w:color w:themeColor="text1" w:val="000000"/>
          <w:sz w:val="22"/>
          <w:szCs w:val="22"/>
        </w:rPr>
      </w:pPr>
      <w:r>
        <w:rPr>
          <w:color w:themeColor="text1" w:val="000000"/>
          <w:sz w:val="22"/>
          <w:szCs w:val="22"/>
        </w:rPr>
        <w:t xml:space="preserve">The analysis code, the pre-specified analysis documents, and the result tables that support the reported numbers are available at https://github.com/kojishimozaki/human-hippocampal-aging-secretome and archived at https://doi.org/10.5281/zenodo.22640702; the version used for this manuscript is the release tagged biorxiv-v2. Software environments are pinned in envs/ (pyDESeq2 0.5.4, scanpy 1.11.5, Python 3.11.15; R with DESeq2, Signac, chromVAR, and ashr), analyses use random seed 42 unless stated otherwise, and the code is released under the MIT Licence. The figure, validation, supplementary-table, and multiple-testing-scope targets run from a clone of the repository using only the committed result tables; the targets that recompute chromatin-accessibility concordance, differential-expression robustness, the regulatory analyses, and the primary differential-expression table additionally require the deposited matrices, which are not redistributed here. The limits of that reproducibility are stated in Methods.</w:t>
      </w:r>
    </w:p>
    <w:p>
      <w:pPr>
        <w:pStyle w:val="Normal"/>
        <w:rPr>
          <w:color w:themeColor="text1" w:val="000000"/>
          <w:sz w:val="22"/>
          <w:szCs w:val="22"/>
        </w:rPr>
      </w:pPr>
      <w:r>
        <w:rPr>
          <w:color w:themeColor="text1" w:val="000000"/>
          <w:sz w:val="22"/>
          <w:szCs w:val="22"/>
        </w:rPr>
      </w:r>
    </w:p>
    <w:p>
      <w:pPr>
        <w:pStyle w:val="Heading1"/>
        <w:rPr>
          <w:color w:themeColor="text1" w:val="000000"/>
          <w:sz w:val="24"/>
          <w:szCs w:val="24"/>
        </w:rPr>
      </w:pPr>
      <w:r>
        <w:rPr>
          <w:color w:themeColor="text1" w:val="000000"/>
          <w:sz w:val="24"/>
          <w:szCs w:val="24"/>
        </w:rPr>
        <w:t xml:space="preserve">Figure legends</w:t>
      </w:r>
    </w:p>
    <w:p>
      <w:pPr>
        <w:pStyle w:val="Normal"/>
        <w:rPr>
          <w:color w:themeColor="text1" w:val="000000"/>
          <w:sz w:val="22"/>
          <w:szCs w:val="22"/>
        </w:rPr>
      </w:pPr>
      <w:r>
        <w:rPr>
          <w:b/>
          <w:bCs/>
          <w:color w:themeColor="text1" w:val="000000"/>
          <w:sz w:val="22"/>
          <w:szCs w:val="22"/>
        </w:rPr>
        <w:t xml:space="preserve">Fig. 1 | Human hippocampal multiome resolves the normal-aging niche.</w:t>
      </w:r>
      <w:r>
        <w:rPr>
          <w:color w:themeColor="text1" w:val="000000"/>
          <w:sz w:val="22"/>
          <w:szCs w:val="22"/>
        </w:rPr>
        <w:t xml:space="preserve"> </w:t>
      </w:r>
      <w:r>
        <w:rPr>
          <w:b/>
          <w:bCs/>
          <w:color w:themeColor="text1" w:val="000000"/>
          <w:sz w:val="22"/>
          <w:szCs w:val="22"/>
        </w:rPr>
        <w:t xml:space="preserve">A,</w:t>
      </w:r>
      <w:r>
        <w:rPr>
          <w:color w:themeColor="text1" w:val="000000"/>
          <w:sz w:val="22"/>
          <w:szCs w:val="22"/>
        </w:rPr>
        <w:t xml:space="preserve"> UMAP coloured by cell type. </w:t>
      </w:r>
      <w:r>
        <w:rPr>
          <w:b/>
          <w:bCs/>
          <w:color w:themeColor="text1" w:val="000000"/>
          <w:sz w:val="22"/>
          <w:szCs w:val="22"/>
        </w:rPr>
        <w:t xml:space="preserve">B,</w:t>
      </w:r>
      <w:r>
        <w:rPr>
          <w:color w:themeColor="text1" w:val="000000"/>
          <w:sz w:val="22"/>
          <w:szCs w:val="22"/>
        </w:rPr>
        <w:t xml:space="preserve"> UMAP coloured by diagnostic group. </w:t>
      </w:r>
      <w:r>
        <w:rPr>
          <w:b/>
          <w:bCs/>
          <w:color w:themeColor="text1" w:val="000000"/>
          <w:sz w:val="22"/>
          <w:szCs w:val="22"/>
        </w:rPr>
        <w:t xml:space="preserve">C,</w:t>
      </w:r>
      <w:r>
        <w:rPr>
          <w:color w:themeColor="text1" w:val="000000"/>
          <w:sz w:val="22"/>
          <w:szCs w:val="22"/>
        </w:rPr>
        <w:t xml:space="preserve"> marker-gene dot plot. </w:t>
      </w:r>
      <w:r>
        <w:rPr>
          <w:b/>
          <w:bCs/>
          <w:color w:themeColor="text1" w:val="000000"/>
          <w:sz w:val="22"/>
          <w:szCs w:val="22"/>
        </w:rPr>
        <w:t xml:space="preserve">D,</w:t>
      </w:r>
      <w:r>
        <w:rPr>
          <w:color w:themeColor="text1" w:val="000000"/>
          <w:sz w:val="22"/>
          <w:szCs w:val="22"/>
        </w:rPr>
        <w:t xml:space="preserve"> donor-level comparison of YA and HA cell-type composition, showing a decline in the NSC-labelled cluster and an increase in the microglial fraction. The microglial result depends on the compositional method: it is significant in the displayed raw-proportion test, a beta-binomial model, and an oligodendrocyte-referenced log ratio, but not after centred log-ratio transformation (adjusted </w:t>
      </w:r>
      <w:r>
        <w:rPr>
          <w:i/>
          <w:iCs/>
          <w:color w:themeColor="text1" w:val="000000"/>
          <w:sz w:val="22"/>
          <w:szCs w:val="22"/>
        </w:rPr>
        <w:t xml:space="preserve">P</w:t>
      </w:r>
      <w:r>
        <w:rPr>
          <w:color w:themeColor="text1" w:val="000000"/>
          <w:sz w:val="22"/>
          <w:szCs w:val="22"/>
        </w:rPr>
        <w:t xml:space="preserve"> = 0.48). The NSC-labelled decline remains significant across all tested methods but cannot be interpreted as loss of NSCs because the deposited identity is not supported (Results). Fig. S1 shows cell-type-specific quality control; Fig. S2 places the composition results in the context of all five deposited groups, including SuperAgers.</w:t>
      </w:r>
    </w:p>
    <w:p>
      <w:pPr>
        <w:pStyle w:val="Normal"/>
        <w:rPr>
          <w:color w:themeColor="text1" w:val="000000"/>
          <w:sz w:val="22"/>
          <w:szCs w:val="22"/>
        </w:rPr>
      </w:pPr>
      <w:r>
        <w:rPr>
          <w:b/>
          <w:bCs/>
          <w:color w:themeColor="text1" w:val="000000"/>
          <w:sz w:val="22"/>
          <w:szCs w:val="22"/>
        </w:rPr>
        <w:t xml:space="preserve">Fig. 2 | Age-associated secretome-related transcription across niche cell classes. A, Volcano plots for each niche cell class. B, Heat map of secretome category by cell type. C, Directional enrichment against senescence-associated secretory phenotype references.</w:t>
      </w:r>
    </w:p>
    <w:p>
      <w:pPr>
        <w:pStyle w:val="Normal"/>
        <w:rPr>
          <w:color w:themeColor="text1" w:val="000000"/>
          <w:sz w:val="22"/>
          <w:szCs w:val="22"/>
        </w:rPr>
      </w:pPr>
      <w:r>
        <w:rPr>
          <w:b/>
          <w:bCs/>
          <w:color w:themeColor="text1" w:val="000000"/>
          <w:sz w:val="22"/>
          <w:szCs w:val="22"/>
        </w:rPr>
        <w:t xml:space="preserve">Fig. 3 | Reproduction of the predefined niche signature in a second human hippocampal cohort.</w:t>
      </w:r>
      <w:r>
        <w:rPr>
          <w:color w:themeColor="text1" w:val="000000"/>
          <w:sz w:val="22"/>
          <w:szCs w:val="22"/>
        </w:rPr>
        <w:t xml:space="preserve"> For each niche cell type and for the pooled set, primary GSE268609 log2 fold changes are plotted against those from GSE278576 [18]. Grey points are shared secretome genes, red points are predefined primary hits, and one-sided Spearman ρ values are shown. The 40-donor external dataset contributed 20 HA donors aged at least 60 years and 10 YA donors younger than 40 years to the categorical comparison. All three pre-specified metrics pass against the unmatched background: Mann–Whitney </w:t>
      </w:r>
      <w:r>
        <w:rPr>
          <w:i/>
          <w:iCs/>
          <w:color w:themeColor="text1" w:val="000000"/>
          <w:sz w:val="22"/>
          <w:szCs w:val="22"/>
        </w:rPr>
        <w:t xml:space="preserve">P</w:t>
      </w:r>
      <w:r>
        <w:rPr>
          <w:color w:themeColor="text1" w:val="000000"/>
          <w:sz w:val="22"/>
          <w:szCs w:val="22"/>
        </w:rPr>
        <w:t xml:space="preserve"> = 1.4×10</w:t>
      </w:r>
      <w:r>
        <w:rPr>
          <w:color w:themeColor="text1" w:val="000000"/>
          <w:sz w:val="22"/>
          <w:szCs w:val="22"/>
          <w:vertAlign w:val="superscript"/>
        </w:rPr>
        <w:t xml:space="preserve">−6</w:t>
      </w:r>
      <w:r>
        <w:rPr>
          <w:color w:themeColor="text1" w:val="000000"/>
          <w:sz w:val="22"/>
          <w:szCs w:val="22"/>
        </w:rPr>
        <w:t xml:space="preserve">; Spearman ρ = 0.24 across 3,983 gene–cell-type pairs; and 81% directional agreement among 48 evaluable hits versus 58% background (</w:t>
      </w:r>
      <w:r>
        <w:rPr>
          <w:i/>
          <w:iCs/>
          <w:color w:themeColor="text1" w:val="000000"/>
          <w:sz w:val="22"/>
          <w:szCs w:val="22"/>
        </w:rPr>
        <w:t xml:space="preserve">P</w:t>
      </w:r>
      <w:r>
        <w:rPr>
          <w:color w:themeColor="text1" w:val="000000"/>
          <w:sz w:val="22"/>
          <w:szCs w:val="22"/>
        </w:rPr>
        <w:t xml:space="preserve"> = 5×10</w:t>
      </w:r>
      <w:r>
        <w:rPr>
          <w:color w:themeColor="text1" w:val="000000"/>
          <w:sz w:val="22"/>
          <w:szCs w:val="22"/>
          <w:vertAlign w:val="superscript"/>
        </w:rPr>
        <w:t xml:space="preserve">−4</w:t>
      </w:r>
      <w:r>
        <w:rPr>
          <w:color w:themeColor="text1" w:val="000000"/>
          <w:sz w:val="22"/>
          <w:szCs w:val="22"/>
        </w:rPr>
        <w:t xml:space="preserve">). The result is robust to sex adjustment and continuous-age modelling, and all metrics exceed donor-label permutation nulls (</w:t>
      </w:r>
      <w:r>
        <w:rPr>
          <w:i/>
          <w:iCs/>
          <w:color w:themeColor="text1" w:val="000000"/>
          <w:sz w:val="22"/>
          <w:szCs w:val="22"/>
        </w:rPr>
        <w:t xml:space="preserve">P</w:t>
      </w:r>
      <w:r>
        <w:rPr>
          <w:color w:themeColor="text1" w:val="000000"/>
          <w:sz w:val="22"/>
          <w:szCs w:val="22"/>
        </w:rPr>
        <w:t xml:space="preserve"> = 0.0099–0.0297). With tight matching for expression and absolute effect size, however, the directional metrics are not distinct (</w:t>
      </w:r>
      <w:r>
        <w:rPr>
          <w:i/>
          <w:iCs/>
          <w:color w:themeColor="text1" w:val="000000"/>
          <w:sz w:val="22"/>
          <w:szCs w:val="22"/>
        </w:rPr>
        <w:t xml:space="preserve">P</w:t>
      </w:r>
      <w:r>
        <w:rPr>
          <w:color w:themeColor="text1" w:val="000000"/>
          <w:sz w:val="22"/>
          <w:szCs w:val="22"/>
        </w:rPr>
        <w:t xml:space="preserve"> = 0.146 and 0.187). The figure therefore demonstrates reproduction of the broader pattern, not specificity of the selected hits. GSE186538 supports all 11 vascular directions but is dominated by one 79-year-old donor [19]. Fig. S7 shows the full cohort spectrum.</w:t>
      </w:r>
    </w:p>
    <w:p>
      <w:pPr>
        <w:pStyle w:val="Normal"/>
        <w:rPr>
          <w:color w:themeColor="text1" w:val="000000"/>
          <w:sz w:val="22"/>
          <w:szCs w:val="22"/>
        </w:rPr>
      </w:pPr>
      <w:r>
        <w:rPr>
          <w:b/>
          <w:bCs/>
          <w:color w:themeColor="text1" w:val="000000"/>
          <w:sz w:val="22"/>
          <w:szCs w:val="22"/>
        </w:rPr>
        <w:t xml:space="preserve">Fig. 4 | Regulatory evidence and the boundary of mechanistic inference. A, Directional agreement between RNA and linked-peak ATAC effects: 41 of the 60 pairs (68%) are concordant, against a background of 57.6% among the 3,942 RNA-non-significant pairs. COL21A1 is the only gene to reach ATAC FDR significance, and it does so within the RNA-significant family alone: none of the 369,393 genome-wide peak tests survives correction. B, Age-associated chromVAR motif activity. C, Aging and disease chromatin comparisons. D, Donor-level transcription-factor footprints. The ATAC result supports gene-level directional coupling in astrocytes but does not identify regulatory loci; motif, footprint, and transcription-factor RNA analyses do not identify a driver.</w:t>
      </w:r>
    </w:p>
    <w:p>
      <w:pPr>
        <w:pStyle w:val="Normal"/>
        <w:rPr>
          <w:color w:themeColor="text1" w:val="000000"/>
          <w:sz w:val="22"/>
          <w:szCs w:val="22"/>
        </w:rPr>
      </w:pPr>
      <w:r>
        <w:rPr>
          <w:b/>
          <w:bCs/>
          <w:color w:themeColor="text1" w:val="000000"/>
          <w:sz w:val="22"/>
          <w:szCs w:val="22"/>
        </w:rPr>
        <w:t xml:space="preserve">Fig. 5 | The aging niche-secretome shows no detectable dentate-gyrus concentration.</w:t>
      </w:r>
      <w:r>
        <w:rPr>
          <w:color w:themeColor="text1" w:val="000000"/>
          <w:sz w:val="22"/>
          <w:szCs w:val="22"/>
        </w:rPr>
        <w:t xml:space="preserve"> Visium spatial transcriptomics from 34 quality-controlled capture areas in GSE264692 [21]. The top-left and top-right panels show representative maps of PROX1 and the astrocyte aging-UP signature; outlines mark PROX1-high spots. The bottom panel shows, for each capture area, the spatial Spearman correlation between PROX1 and the astrocyte, microglial, or oligodendrocyte aging-UP signature. Median ρ values are +0.003, +0.020, and −0.021; median absolute ρ values are 0.022, 0.021, and 0.040, respectively. No dentate-gyrus colocalisation is detected, although the available anterior sections do not sharply resolve the dentate gyrus. Cross-cohort reproducibility is summarised separately in Fig. S7.</w:t>
      </w:r>
    </w:p>
    <w:p>
      <w:pPr>
        <w:pStyle w:val="Normal"/>
        <w:rPr>
          <w:color w:themeColor="text1" w:val="000000"/>
          <w:sz w:val="22"/>
          <w:szCs w:val="22"/>
        </w:rPr>
      </w:pPr>
      <w:r>
        <w:rPr>
          <w:b/>
          <w:bCs/>
          <w:color w:themeColor="text1" w:val="000000"/>
          <w:sz w:val="22"/>
          <w:szCs w:val="22"/>
        </w:rPr>
        <w:t xml:space="preserve">Fig. 6 | Granule-lineage transcription in a cognitive-resilience cohort. A, Differentially expressed gene counts for resilient versus control (RES versus CTRL), resilient versus severe AD (RES versus SAD), and severe AD versus control (SAD versus CTRL). B, RES-versus-SAD expression signature. C, Age by group. CTRL, non-demented control; RES, high pathology with preserved cognition; MAD, moderate AD; SAD, severe AD. MAD is included only in C to show the age distribution and is not part of the resilience contrast. GSE325391 [22].</w:t>
      </w:r>
    </w:p>
    <w:p>
      <w:pPr>
        <w:pStyle w:val="Normal"/>
        <w:rPr>
          <w:color w:themeColor="text1" w:val="000000"/>
          <w:sz w:val="22"/>
          <w:szCs w:val="22"/>
        </w:rPr>
      </w:pPr>
      <w:r>
        <w:rPr>
          <w:b/>
          <w:bCs/>
          <w:color w:themeColor="text1" w:val="000000"/>
          <w:sz w:val="22"/>
          <w:szCs w:val="22"/>
        </w:rPr>
        <w:t xml:space="preserve">Fig. S1 | Cell-type-specific quality control.</w:t>
      </w:r>
      <w:r>
        <w:rPr>
          <w:color w:themeColor="text1" w:val="000000"/>
          <w:sz w:val="22"/>
          <w:szCs w:val="22"/>
        </w:rPr>
        <w:t xml:space="preserve"> Violin plots show unique molecular identifiers per nucleus (nCount), genes detected per nucleus (nFeature), and mitochondrial-read percentage for each deposited cell type in the full GSE268609 cohort (153,530 nuclei). These plots describe capture depth and data quality; they do not compare aging or disease groups.</w:t>
      </w:r>
    </w:p>
    <w:p>
      <w:pPr>
        <w:pStyle w:val="Normal"/>
        <w:rPr>
          <w:color w:themeColor="text1" w:val="000000"/>
          <w:sz w:val="22"/>
          <w:szCs w:val="22"/>
        </w:rPr>
      </w:pPr>
      <w:r>
        <w:rPr>
          <w:b/>
          <w:bCs/>
          <w:color w:themeColor="text1" w:val="000000"/>
          <w:sz w:val="22"/>
          <w:szCs w:val="22"/>
        </w:rPr>
        <w:t xml:space="preserve">Fig. S2 | Cell-type composition across the five deposited groups.</w:t>
      </w:r>
      <w:r>
        <w:rPr>
          <w:color w:themeColor="text1" w:val="000000"/>
          <w:sz w:val="22"/>
          <w:szCs w:val="22"/>
        </w:rPr>
        <w:t xml:space="preserve"> Donor-level cell fractions are shown as mean ± standard error for young adults, healthy-aging controls, mild cognitive impairment, Alzheimer’s disease, and SuperAgers (YA, HA, MCI, AD, and SA), with one panel per cell type. SuperAgers are individuals aged at least 80 years whose episodic-memory performance equals or exceeds norms for people in their fifties and sixties [17]. They represent cognitive resilience, not a severity stage; the left-to-right order is simply the order of groups in the deposit. The YA–HA comparison quantified in Fig. 1D is displayed alongside disease groups for context. The neuroblast-labelled fraction declines and the raw microglial fraction remains high across groups, whereas oligodendrocyte expansion and interneuron loss appear in AD but not in SuperAgers. These descriptive comparisons do not contribute to the primary secretome analysis.</w:t>
      </w:r>
    </w:p>
    <w:p>
      <w:pPr>
        <w:pStyle w:val="Normal"/>
        <w:rPr>
          <w:color w:themeColor="text1" w:val="000000"/>
          <w:sz w:val="22"/>
          <w:szCs w:val="22"/>
        </w:rPr>
      </w:pPr>
      <w:r>
        <w:rPr>
          <w:b/>
          <w:bCs/>
          <w:color w:themeColor="text1" w:val="000000"/>
          <w:sz w:val="22"/>
          <w:szCs w:val="22"/>
        </w:rPr>
        <w:t xml:space="preserve">Fig. S3 | The aging niche-secretome is not reproduced in mature neurons.</w:t>
      </w:r>
      <w:r>
        <w:rPr>
          <w:color w:themeColor="text1" w:val="000000"/>
          <w:sz w:val="22"/>
          <w:szCs w:val="22"/>
        </w:rPr>
        <w:t xml:space="preserve"> Mature dentate granule (DG_GC), CA excitatory (CA_ExN), and inhibitory (InN) neurons from the GSE268609 donors were analysed by donor pseudobulk with ~arm + group. </w:t>
      </w:r>
      <w:r>
        <w:rPr>
          <w:b/>
          <w:bCs/>
          <w:color w:themeColor="text1" w:val="000000"/>
          <w:sz w:val="22"/>
          <w:szCs w:val="22"/>
        </w:rPr>
        <w:t xml:space="preserve">A,</w:t>
      </w:r>
      <w:r>
        <w:rPr>
          <w:color w:themeColor="text1" w:val="000000"/>
          <w:sz w:val="22"/>
          <w:szCs w:val="22"/>
        </w:rPr>
        <w:t xml:space="preserve"> Pairwise Spearman correlations for secretome age effects: median ρ = 0.26 for niche–niche pairs, 0.21 for neuron–neuron pairs, and 0.15 for niche–neuron pairs. The dashed line marks the GSE278576 external benchmark (ρ = 0.24). </w:t>
      </w:r>
      <w:r>
        <w:rPr>
          <w:b/>
          <w:bCs/>
          <w:color w:themeColor="text1" w:val="000000"/>
          <w:sz w:val="22"/>
          <w:szCs w:val="22"/>
        </w:rPr>
        <w:t xml:space="preserve">B,</w:t>
      </w:r>
      <w:r>
        <w:rPr>
          <w:color w:themeColor="text1" w:val="000000"/>
          <w:sz w:val="22"/>
          <w:szCs w:val="22"/>
        </w:rPr>
        <w:t xml:space="preserve"> Directional concordance of the predefined 60 pairs against each neuron’s own secretome background: DG_GC 0.49 versus 0.57, CA_ExN 0.62 versus 0.53, InN 0.63 versus 0.57, and pooled 0.58 versus 0.55; none is significantly above background. </w:t>
      </w:r>
      <w:r>
        <w:rPr>
          <w:b/>
          <w:bCs/>
          <w:color w:themeColor="text1" w:val="000000"/>
          <w:sz w:val="22"/>
          <w:szCs w:val="22"/>
        </w:rPr>
        <w:t xml:space="preserve">C,</w:t>
      </w:r>
      <w:r>
        <w:rPr>
          <w:color w:themeColor="text1" w:val="000000"/>
          <w:sz w:val="22"/>
          <w:szCs w:val="22"/>
        </w:rPr>
        <w:t xml:space="preserve"> De novo adjusted-</w:t>
      </w:r>
      <w:r>
        <w:rPr>
          <w:i/>
          <w:iCs/>
          <w:color w:themeColor="text1" w:val="000000"/>
          <w:sz w:val="22"/>
          <w:szCs w:val="22"/>
        </w:rPr>
        <w:t xml:space="preserve">P</w:t>
      </w:r>
      <w:r>
        <w:rPr>
          <w:color w:themeColor="text1" w:val="000000"/>
          <w:sz w:val="22"/>
          <w:szCs w:val="22"/>
        </w:rPr>
        <w:t xml:space="preserve"> &lt; 0.1 secretome hits under the arm-adjusted model: astrocytes 17, microglia 11, oligodendrocytes 7, OPCs 6, vascular compartment 6, DG_GC 4, CA_ExN 3, and InN 0. </w:t>
      </w:r>
      <w:r>
        <w:rPr>
          <w:b/>
          <w:bCs/>
          <w:color w:themeColor="text1" w:val="000000"/>
          <w:sz w:val="22"/>
          <w:szCs w:val="22"/>
        </w:rPr>
        <w:t xml:space="preserve">D,</w:t>
      </w:r>
      <w:r>
        <w:rPr>
          <w:color w:themeColor="text1" w:val="000000"/>
          <w:sz w:val="22"/>
          <w:szCs w:val="22"/>
        </w:rPr>
        <w:t xml:space="preserve"> Descriptive inhibitory-neuron gene-set responses. IFN-α (+0.14), IFN-γ (+0.07), NF-κB/TNFα (+0.08), and complement (+0.03) increase relative to background (2,000-permutation </w:t>
      </w:r>
      <w:r>
        <w:rPr>
          <w:i/>
          <w:iCs/>
          <w:color w:themeColor="text1" w:val="000000"/>
          <w:sz w:val="22"/>
          <w:szCs w:val="22"/>
        </w:rPr>
        <w:t xml:space="preserve">P</w:t>
      </w:r>
      <w:r>
        <w:rPr>
          <w:color w:themeColor="text1" w:val="000000"/>
          <w:sz w:val="22"/>
          <w:szCs w:val="22"/>
        </w:rPr>
        <w:t xml:space="preserve"> ≤ 0.0065), whereas broad Inflammatory and SenMayo sets do not. This set-level response cannot be fully separated from ambient glial RNA, does not correlate significantly with niche output across donors (ρ = 0.26, </w:t>
      </w:r>
      <w:r>
        <w:rPr>
          <w:i/>
          <w:iCs/>
          <w:color w:themeColor="text1" w:val="000000"/>
          <w:sz w:val="22"/>
          <w:szCs w:val="22"/>
        </w:rPr>
        <w:t xml:space="preserve">P</w:t>
      </w:r>
      <w:r>
        <w:rPr>
          <w:color w:themeColor="text1" w:val="000000"/>
          <w:sz w:val="22"/>
          <w:szCs w:val="22"/>
        </w:rPr>
        <w:t xml:space="preserve"> = 0.31, </w:t>
      </w:r>
      <w:r>
        <w:rPr>
          <w:i/>
          <w:color w:themeColor="text1" w:val="000000"/>
          <w:sz w:val="22"/>
          <w:szCs w:val="22"/>
        </w:rPr>
        <w:t xml:space="preserve">n</w:t>
      </w:r>
      <w:r>
        <w:rPr>
          <w:color w:themeColor="text1" w:val="000000"/>
          <w:sz w:val="22"/>
          <w:szCs w:val="22"/>
        </w:rPr>
        <w:t xml:space="preserve"> = 17), and is not explained by a specific paracrine input. Receptors are expressed in 83–88% of relevant ligand–receptor pairs, but 0/76 are age-regulated in any neuronal class, and NicheNet ligand activity is non-discriminative. Donors are the statistical units; seed 42.</w:t>
      </w:r>
    </w:p>
    <w:p>
      <w:pPr>
        <w:pStyle w:val="Normal"/>
        <w:rPr>
          <w:color w:themeColor="text1" w:val="000000"/>
          <w:sz w:val="22"/>
          <w:szCs w:val="22"/>
        </w:rPr>
      </w:pPr>
      <w:r>
        <w:rPr>
          <w:b/>
          <w:bCs/>
          <w:color w:themeColor="text1" w:val="000000"/>
          <w:sz w:val="22"/>
          <w:szCs w:val="22"/>
        </w:rPr>
        <w:t xml:space="preserve">Fig. S4 | CSF-proteome concordance of the aging-UP/SASP component depends on the gene-set threshold. The aging-UP and aging-DOWN sets are drawn from the niche-secretome universe and their CSF age estimates [16] are compared with the whole measured CSF proteome as background (6,174 features). The predefined adjusted-</w:t>
      </w:r>
      <w:r>
        <w:rPr>
          <w:i/>
          <w:b/>
          <w:bCs/>
          <w:color w:themeColor="text1" w:val="000000"/>
          <w:sz w:val="22"/>
          <w:szCs w:val="22"/>
        </w:rPr>
        <w:t xml:space="preserve">P</w:t>
      </w:r>
      <w:r>
        <w:rPr>
          <w:b/>
          <w:bCs/>
          <w:color w:themeColor="text1" w:val="000000"/>
          <w:sz w:val="22"/>
          <w:szCs w:val="22"/>
        </w:rPr>
        <w:t xml:space="preserve"> &lt; 0.1 set shows a non-significant upward trend (60% up, </w:t>
      </w:r>
      <w:r>
        <w:rPr>
          <w:i/>
          <w:b/>
          <w:bCs/>
          <w:color w:themeColor="text1" w:val="000000"/>
          <w:sz w:val="22"/>
          <w:szCs w:val="22"/>
        </w:rPr>
        <w:t xml:space="preserve">n</w:t>
      </w:r>
      <w:r>
        <w:rPr>
          <w:b/>
          <w:bCs/>
          <w:color w:themeColor="text1" w:val="000000"/>
          <w:sz w:val="22"/>
          <w:szCs w:val="22"/>
        </w:rPr>
        <w:t xml:space="preserve"> = 25, </w:t>
      </w:r>
      <w:r>
        <w:rPr>
          <w:i/>
          <w:b/>
          <w:bCs/>
          <w:color w:themeColor="text1" w:val="000000"/>
          <w:sz w:val="22"/>
          <w:szCs w:val="22"/>
        </w:rPr>
        <w:t xml:space="preserve">P</w:t>
      </w:r>
      <w:r>
        <w:rPr>
          <w:b/>
          <w:bCs/>
          <w:color w:themeColor="text1" w:val="000000"/>
          <w:sz w:val="22"/>
          <w:szCs w:val="22"/>
        </w:rPr>
        <w:t xml:space="preserve"> = 0.21) and the extended adjusted-</w:t>
      </w:r>
      <w:r>
        <w:rPr>
          <w:i/>
          <w:b/>
          <w:bCs/>
          <w:color w:themeColor="text1" w:val="000000"/>
          <w:sz w:val="22"/>
          <w:szCs w:val="22"/>
        </w:rPr>
        <w:t xml:space="preserve">P</w:t>
      </w:r>
      <w:r>
        <w:rPr>
          <w:b/>
          <w:bCs/>
          <w:color w:themeColor="text1" w:val="000000"/>
          <w:sz w:val="22"/>
          <w:szCs w:val="22"/>
        </w:rPr>
        <w:t xml:space="preserve"> &lt; 0.2 set is concordant (69% up, </w:t>
      </w:r>
      <w:r>
        <w:rPr>
          <w:i/>
          <w:b/>
          <w:bCs/>
          <w:color w:themeColor="text1" w:val="000000"/>
          <w:sz w:val="22"/>
          <w:szCs w:val="22"/>
        </w:rPr>
        <w:t xml:space="preserve">n</w:t>
      </w:r>
      <w:r>
        <w:rPr>
          <w:b/>
          <w:bCs/>
          <w:color w:themeColor="text1" w:val="000000"/>
          <w:sz w:val="22"/>
          <w:szCs w:val="22"/>
        </w:rPr>
        <w:t xml:space="preserve"> = 42, </w:t>
      </w:r>
      <w:r>
        <w:rPr>
          <w:i/>
          <w:b/>
          <w:bCs/>
          <w:color w:themeColor="text1" w:val="000000"/>
          <w:sz w:val="22"/>
          <w:szCs w:val="22"/>
        </w:rPr>
        <w:t xml:space="preserve">P</w:t>
      </w:r>
      <w:r>
        <w:rPr>
          <w:b/>
          <w:bCs/>
          <w:color w:themeColor="text1" w:val="000000"/>
          <w:sz w:val="22"/>
          <w:szCs w:val="22"/>
        </w:rPr>
        <w:t xml:space="preserve"> = 0.001). Against the 1,325 background features that lie inside the secretome universe the same comparisons give </w:t>
      </w:r>
      <w:r>
        <w:rPr>
          <w:i/>
          <w:b/>
          <w:bCs/>
          <w:color w:themeColor="text1" w:val="000000"/>
          <w:sz w:val="22"/>
          <w:szCs w:val="22"/>
        </w:rPr>
        <w:t xml:space="preserve">P</w:t>
      </w:r>
      <w:r>
        <w:rPr>
          <w:b/>
          <w:bCs/>
          <w:color w:themeColor="text1" w:val="000000"/>
          <w:sz w:val="22"/>
          <w:szCs w:val="22"/>
        </w:rPr>
        <w:t xml:space="preserve"> = 0.44 and </w:t>
      </w:r>
      <w:r>
        <w:rPr>
          <w:i/>
          <w:b/>
          <w:bCs/>
          <w:color w:themeColor="text1" w:val="000000"/>
          <w:sz w:val="22"/>
          <w:szCs w:val="22"/>
        </w:rPr>
        <w:t xml:space="preserve">P</w:t>
      </w:r>
      <w:r>
        <w:rPr>
          <w:b/>
          <w:bCs/>
          <w:color w:themeColor="text1" w:val="000000"/>
          <w:sz w:val="22"/>
          <w:szCs w:val="22"/>
        </w:rPr>
        <w:t xml:space="preserve"> = 0.014. The result is therefore background-dependent, and supports the extended UP component rather than the core 60-pair set.</w:t>
      </w:r>
    </w:p>
    <w:p>
      <w:pPr>
        <w:pStyle w:val="Normal"/>
        <w:rPr>
          <w:color w:themeColor="text1" w:val="000000"/>
          <w:sz w:val="22"/>
          <w:szCs w:val="22"/>
        </w:rPr>
      </w:pPr>
      <w:r>
        <w:rPr>
          <w:b/>
          <w:bCs/>
          <w:color w:themeColor="text1" w:val="000000"/>
          <w:sz w:val="22"/>
          <w:szCs w:val="22"/>
        </w:rPr>
        <w:t xml:space="preserve">Fig. S5 | Age-associated mCG changes over secretome-linked regulatory regions.</w:t>
      </w:r>
      <w:r>
        <w:rPr>
          <w:color w:themeColor="text1" w:val="000000"/>
          <w:sz w:val="22"/>
          <w:szCs w:val="22"/>
        </w:rPr>
        <w:t xml:space="preserve"> GSE299139 snm3C data from 40 donors are tested against matched non-secretome regions. </w:t>
      </w:r>
      <w:r>
        <w:rPr>
          <w:b/>
          <w:bCs/>
          <w:color w:themeColor="text1" w:val="000000"/>
          <w:sz w:val="22"/>
          <w:szCs w:val="22"/>
        </w:rPr>
        <w:t xml:space="preserve">A,</w:t>
      </w:r>
      <w:r>
        <w:rPr>
          <w:color w:themeColor="text1" w:val="000000"/>
          <w:sz w:val="22"/>
          <w:szCs w:val="22"/>
        </w:rPr>
        <w:t xml:space="preserve"> RNA-oriented mCG effects for predefined-hit and all-secretome sets in each niche cell class. </w:t>
      </w:r>
      <w:r>
        <w:rPr>
          <w:iCs/>
          <w:color w:themeColor="text1" w:val="000000"/>
          <w:sz w:val="22"/>
          <w:szCs w:val="22"/>
        </w:rPr>
        <w:t xml:space="preserve">Nominal</w:t>
      </w:r>
      <w:r>
        <w:rPr>
          <w:color w:themeColor="text1" w:val="000000"/>
          <w:sz w:val="22"/>
          <w:szCs w:val="22"/>
        </w:rPr>
        <w:t xml:space="preserve"> marks sets that met gene-level matched-null and sign-permutation </w:t>
      </w:r>
      <w:r>
        <w:rPr>
          <w:i/>
          <w:iCs/>
          <w:color w:themeColor="text1" w:val="000000"/>
          <w:sz w:val="22"/>
          <w:szCs w:val="22"/>
        </w:rPr>
        <w:t xml:space="preserve">P</w:t>
      </w:r>
      <w:r>
        <w:rPr>
          <w:color w:themeColor="text1" w:val="000000"/>
          <w:sz w:val="22"/>
          <w:szCs w:val="22"/>
        </w:rPr>
        <w:t xml:space="preserve"> &lt; 0.05 before the four controls described below; </w:t>
      </w:r>
      <w:r>
        <w:rPr>
          <w:iCs/>
          <w:color w:themeColor="text1" w:val="000000"/>
          <w:sz w:val="22"/>
          <w:szCs w:val="22"/>
        </w:rPr>
        <w:t xml:space="preserve">region-only</w:t>
      </w:r>
      <w:r>
        <w:rPr>
          <w:color w:themeColor="text1" w:val="000000"/>
          <w:sz w:val="22"/>
          <w:szCs w:val="22"/>
        </w:rPr>
        <w:t xml:space="preserve"> marks the remaining sets. These labels document the analysis sequence and are not robustness verdicts. </w:t>
      </w:r>
      <w:r>
        <w:rPr>
          <w:b/>
          <w:bCs/>
          <w:color w:themeColor="text1" w:val="000000"/>
          <w:sz w:val="22"/>
          <w:szCs w:val="22"/>
        </w:rPr>
        <w:t xml:space="preserve">B,</w:t>
      </w:r>
      <w:r>
        <w:rPr>
          <w:color w:themeColor="text1" w:val="000000"/>
          <w:sz w:val="22"/>
          <w:szCs w:val="22"/>
        </w:rPr>
        <w:t xml:space="preserve"> Unadjusted region-level comparison of astrocyte RNA log2 fold change with old-minus-young ΔmCG (92 correlated regions; 65% concordant). This display is not equivalent to the adjusted gene-level test in A. </w:t>
      </w:r>
      <w:r>
        <w:rPr>
          <w:b/>
          <w:bCs/>
          <w:color w:themeColor="text1" w:val="000000"/>
          <w:sz w:val="22"/>
          <w:szCs w:val="22"/>
        </w:rPr>
        <w:t xml:space="preserve">C,</w:t>
      </w:r>
      <w:r>
        <w:rPr>
          <w:color w:themeColor="text1" w:val="000000"/>
          <w:sz w:val="22"/>
          <w:szCs w:val="22"/>
        </w:rPr>
        <w:t xml:space="preserve"> Cross-cohort effect-size correlations between mCG from GSE299139 and RNA or ATAC from GSE268609. These are not donor-paired analyses; ρ, rather than a </w:t>
      </w:r>
      <w:r>
        <w:rPr>
          <w:i/>
          <w:iCs/>
          <w:color w:themeColor="text1" w:val="000000"/>
          <w:sz w:val="22"/>
          <w:szCs w:val="22"/>
        </w:rPr>
        <w:t xml:space="preserve">P</w:t>
      </w:r>
      <w:r>
        <w:rPr>
          <w:color w:themeColor="text1" w:val="000000"/>
          <w:sz w:val="22"/>
          <w:szCs w:val="22"/>
        </w:rPr>
        <w:t xml:space="preserve">-value, is reported (maximum |ρ| = 0.16). </w:t>
      </w:r>
      <w:r>
        <w:rPr>
          <w:b/>
          <w:bCs/>
          <w:color w:themeColor="text1" w:val="000000"/>
          <w:sz w:val="22"/>
          <w:szCs w:val="22"/>
        </w:rPr>
        <w:t xml:space="preserve">D,</w:t>
      </w:r>
      <w:r>
        <w:rPr>
          <w:color w:themeColor="text1" w:val="000000"/>
          <w:sz w:val="22"/>
          <w:szCs w:val="22"/>
        </w:rPr>
        <w:t xml:space="preserve"> Genome-wide counts of age-associated methylation regions at adjusted </w:t>
      </w:r>
      <w:r>
        <w:rPr>
          <w:i/>
          <w:iCs/>
          <w:color w:themeColor="text1" w:val="000000"/>
          <w:sz w:val="22"/>
          <w:szCs w:val="22"/>
        </w:rPr>
        <w:t xml:space="preserve">P</w:t>
      </w:r>
      <w:r>
        <w:rPr>
          <w:color w:themeColor="text1" w:val="000000"/>
          <w:sz w:val="22"/>
          <w:szCs w:val="22"/>
        </w:rPr>
        <w:t xml:space="preserve"> &lt; 0.1, shown for context. The microglial count is not composition-controlled because Micro1 is absent from six older donors. The nominal astrocyte result (matched-null </w:t>
      </w:r>
      <w:r>
        <w:rPr>
          <w:i/>
          <w:iCs/>
          <w:color w:themeColor="text1" w:val="000000"/>
          <w:sz w:val="22"/>
          <w:szCs w:val="22"/>
        </w:rPr>
        <w:t xml:space="preserve">P</w:t>
      </w:r>
      <w:r>
        <w:rPr>
          <w:color w:themeColor="text1" w:val="000000"/>
          <w:sz w:val="22"/>
          <w:szCs w:val="22"/>
        </w:rPr>
        <w:t xml:space="preserve"> = 0.018; sign-permutation </w:t>
      </w:r>
      <w:r>
        <w:rPr>
          <w:i/>
          <w:iCs/>
          <w:color w:themeColor="text1" w:val="000000"/>
          <w:sz w:val="22"/>
          <w:szCs w:val="22"/>
        </w:rPr>
        <w:t xml:space="preserve">P</w:t>
      </w:r>
      <w:r>
        <w:rPr>
          <w:color w:themeColor="text1" w:val="000000"/>
          <w:sz w:val="22"/>
          <w:szCs w:val="22"/>
        </w:rPr>
        <w:t xml:space="preserve"> = 0.043) fails four controls: Astro1 </w:t>
      </w:r>
      <w:r>
        <w:rPr>
          <w:i/>
          <w:iCs/>
          <w:color w:themeColor="text1" w:val="000000"/>
          <w:sz w:val="22"/>
          <w:szCs w:val="22"/>
        </w:rPr>
        <w:t xml:space="preserve">P</w:t>
      </w:r>
      <w:r>
        <w:rPr>
          <w:color w:themeColor="text1" w:val="000000"/>
          <w:sz w:val="22"/>
          <w:szCs w:val="22"/>
        </w:rPr>
        <w:t xml:space="preserve"> = 0.836 and Astro2 </w:t>
      </w:r>
      <w:r>
        <w:rPr>
          <w:i/>
          <w:iCs/>
          <w:color w:themeColor="text1" w:val="000000"/>
          <w:sz w:val="22"/>
          <w:szCs w:val="22"/>
        </w:rPr>
        <w:t xml:space="preserve">P</w:t>
      </w:r>
      <w:r>
        <w:rPr>
          <w:color w:themeColor="text1" w:val="000000"/>
          <w:sz w:val="22"/>
          <w:szCs w:val="22"/>
        </w:rPr>
        <w:t xml:space="preserve"> = 0.291; orientation by OPC RNA gives </w:t>
      </w:r>
      <w:r>
        <w:rPr>
          <w:i/>
          <w:iCs/>
          <w:color w:themeColor="text1" w:val="000000"/>
          <w:sz w:val="22"/>
          <w:szCs w:val="22"/>
        </w:rPr>
        <w:t xml:space="preserve">P</w:t>
      </w:r>
      <w:r>
        <w:rPr>
          <w:color w:themeColor="text1" w:val="000000"/>
          <w:sz w:val="22"/>
          <w:szCs w:val="22"/>
        </w:rPr>
        <w:t xml:space="preserve"> = 0.019/0.025; 155 non-secretome RNA-significant genes give </w:t>
      </w:r>
      <w:r>
        <w:rPr>
          <w:i/>
          <w:iCs/>
          <w:color w:themeColor="text1" w:val="000000"/>
          <w:sz w:val="22"/>
          <w:szCs w:val="22"/>
        </w:rPr>
        <w:t xml:space="preserve">P</w:t>
      </w:r>
      <w:r>
        <w:rPr>
          <w:color w:themeColor="text1" w:val="000000"/>
          <w:sz w:val="22"/>
          <w:szCs w:val="22"/>
        </w:rPr>
        <w:t xml:space="preserve"> = 0.023; and the matched diagonal does not differ from 10,000 scrambled orientation grids (</w:t>
      </w:r>
      <w:r>
        <w:rPr>
          <w:i/>
          <w:iCs/>
          <w:color w:themeColor="text1" w:val="000000"/>
          <w:sz w:val="22"/>
          <w:szCs w:val="22"/>
        </w:rPr>
        <w:t xml:space="preserve">P</w:t>
      </w:r>
      <w:r>
        <w:rPr>
          <w:color w:themeColor="text1" w:val="000000"/>
          <w:sz w:val="22"/>
          <w:szCs w:val="22"/>
        </w:rPr>
        <w:t xml:space="preserve"> = 0.333). The methylation analysis is therefore not evidence of RNA-directed coordination and is not counted as support for ATAC.</w:t>
      </w:r>
    </w:p>
    <w:p>
      <w:pPr>
        <w:pStyle w:val="Normal"/>
        <w:rPr>
          <w:color w:themeColor="text1" w:val="000000"/>
          <w:sz w:val="22"/>
          <w:szCs w:val="22"/>
        </w:rPr>
      </w:pPr>
      <w:r>
        <w:rPr>
          <w:b/>
          <w:bCs/>
          <w:color w:themeColor="text1" w:val="000000"/>
          <w:sz w:val="22"/>
          <w:szCs w:val="22"/>
        </w:rPr>
        <w:t xml:space="preserve">Fig. S6 | Transcription-factor RNA does not follow the direction of age-associated motif accessibility.</w:t>
      </w:r>
      <w:r>
        <w:rPr>
          <w:color w:themeColor="text1" w:val="000000"/>
          <w:sz w:val="22"/>
          <w:szCs w:val="22"/>
        </w:rPr>
        <w:t xml:space="preserve"> The predefined foreground contains 31 motif×TF×cell-type combinations with nominal chromVAR </w:t>
      </w:r>
      <w:r>
        <w:rPr>
          <w:i/>
          <w:iCs/>
          <w:color w:themeColor="text1" w:val="000000"/>
          <w:sz w:val="22"/>
          <w:szCs w:val="22"/>
        </w:rPr>
        <w:t xml:space="preserve">P</w:t>
      </w:r>
      <w:r>
        <w:rPr>
          <w:color w:themeColor="text1" w:val="000000"/>
          <w:sz w:val="22"/>
          <w:szCs w:val="22"/>
        </w:rPr>
        <w:t xml:space="preserve"> &lt; 0.05; 22 cognate factors are testable in matched donor-pseudobulk RNA. </w:t>
      </w:r>
      <w:r>
        <w:rPr>
          <w:b/>
          <w:bCs/>
          <w:color w:themeColor="text1" w:val="000000"/>
          <w:sz w:val="22"/>
          <w:szCs w:val="22"/>
        </w:rPr>
        <w:t xml:space="preserve">A,</w:t>
      </w:r>
      <w:r>
        <w:rPr>
          <w:color w:themeColor="text1" w:val="000000"/>
          <w:sz w:val="22"/>
          <w:szCs w:val="22"/>
        </w:rPr>
        <w:t xml:space="preserve"> TF RNA log2 fold change versus motif chromVAR dz for HA versus YA. Eleven of the 22 testable combinations (50%) agree in direction, no more than a background matched for cell type, direction, and expression (52.4%; 10,000 stratified permutations, </w:t>
      </w:r>
      <w:r>
        <w:rPr>
          <w:i/>
          <w:iCs/>
          <w:color w:themeColor="text1" w:val="000000"/>
          <w:sz w:val="22"/>
          <w:szCs w:val="22"/>
        </w:rPr>
        <w:t xml:space="preserve">P</w:t>
      </w:r>
      <w:r>
        <w:rPr>
          <w:color w:themeColor="text1" w:val="000000"/>
          <w:sz w:val="22"/>
          <w:szCs w:val="22"/>
        </w:rPr>
        <w:t xml:space="preserve"> = 0.68; Mantel–Haenszel odds ratio 0.90). No factor is both concordant and FDR-significant. </w:t>
      </w:r>
      <w:r>
        <w:rPr>
          <w:b/>
          <w:bCs/>
          <w:color w:themeColor="text1" w:val="000000"/>
          <w:sz w:val="22"/>
          <w:szCs w:val="22"/>
        </w:rPr>
        <w:t xml:space="preserve">B,</w:t>
      </w:r>
      <w:r>
        <w:rPr>
          <w:color w:themeColor="text1" w:val="000000"/>
          <w:sz w:val="22"/>
          <w:szCs w:val="22"/>
        </w:rPr>
        <w:t xml:space="preserve"> Descriptive relative-expression paths across YA, HA, and AD, constructed from the HA-versus-YA and AD-versus-HA effects; no three-group temporal inference is made. </w:t>
      </w:r>
      <w:r>
        <w:rPr>
          <w:b/>
          <w:bCs/>
          <w:color w:themeColor="text1" w:val="000000"/>
          <w:sz w:val="22"/>
          <w:szCs w:val="22"/>
        </w:rPr>
        <w:t xml:space="preserve">C,</w:t>
      </w:r>
      <w:r>
        <w:rPr>
          <w:color w:themeColor="text1" w:val="000000"/>
          <w:sz w:val="22"/>
          <w:szCs w:val="22"/>
        </w:rPr>
        <w:t xml:space="preserve"> RNA-direction robustness in GSE278576 after sex adjustment. Only 3 of 14 testable factors agree (Spearman ρ = −0.015); the vascular compartment is unavailable. This is not a replication of the cross-modal analysis because the external chromVAR component is absent.</w:t>
      </w:r>
    </w:p>
    <w:p>
      <w:pPr>
        <w:pStyle w:val="Normal"/>
        <w:rPr>
          <w:color w:themeColor="text1" w:val="000000"/>
          <w:sz w:val="22"/>
          <w:szCs w:val="22"/>
        </w:rPr>
      </w:pPr>
      <w:r>
        <w:rPr>
          <w:b/>
          <w:bCs/>
          <w:color w:themeColor="text1" w:val="000000"/>
          <w:sz w:val="22"/>
          <w:szCs w:val="22"/>
        </w:rPr>
        <w:t xml:space="preserve">Fig. S7 | Reproducibility across external datasets and analysis choices.</w:t>
      </w:r>
      <w:r>
        <w:rPr>
          <w:color w:themeColor="text1" w:val="000000"/>
          <w:sz w:val="22"/>
          <w:szCs w:val="22"/>
        </w:rPr>
        <w:t xml:space="preserve"> </w:t>
      </w:r>
      <w:r>
        <w:rPr>
          <w:b/>
          <w:bCs/>
          <w:color w:themeColor="text1" w:val="000000"/>
          <w:sz w:val="22"/>
          <w:szCs w:val="22"/>
        </w:rPr>
        <w:t xml:space="preserve">A,</w:t>
      </w:r>
      <w:r>
        <w:rPr>
          <w:color w:themeColor="text1" w:val="000000"/>
          <w:sz w:val="22"/>
          <w:szCs w:val="22"/>
        </w:rPr>
        <w:t xml:space="preserve"> Pooled Spearman correlation and directional concordance of predefined pairs for six external outputs. The GSE278576 primary, sex-adjusted, and continuous-age analyses pass the pre-specified metrics against their unmatched backgrounds: respectively, ρ = +0.24, +0.23, and +0.19; pair concordance = 0.81 versus 0.58, 0.81 versus 0.57, and 0.80 versus 0.54; all 3/3 metrics pass. GSE186538 is supportive (ρ = +0.25; 0.76 versus 0.59; 3/3), but removing its only 79-year-old donor reduces agreement (ρ = +0.05; 0.47 versus 0.51; 1/3). GSE199243 is a limit-of-reproducibility comparison rather than a pre-specified reproduction test (ρ = +0.02; 0.61 versus 0.51); WNT5B is its only significant, directionally concordant pair. </w:t>
      </w:r>
      <w:r>
        <w:rPr>
          <w:b/>
          <w:bCs/>
          <w:color w:themeColor="text1" w:val="000000"/>
          <w:sz w:val="22"/>
          <w:szCs w:val="22"/>
        </w:rPr>
        <w:t xml:space="preserve">B,</w:t>
      </w:r>
      <w:r>
        <w:rPr>
          <w:color w:themeColor="text1" w:val="000000"/>
          <w:sz w:val="22"/>
          <w:szCs w:val="22"/>
        </w:rPr>
        <w:t xml:space="preserve"> Pooled primary-versus-external scatter plots for the same outputs. Grey points show shared secretome genes and coloured points the predefined pairs. Backgrounds in this figure are not matched for effect size; the matched analysis in Results removes the specificity claim but not the observed directional reproduction.</w:t>
      </w:r>
    </w:p>
    <w:p>
      <w:pPr>
        <w:pStyle w:val="Normal"/>
        <w:rPr>
          <w:color w:themeColor="text1" w:val="000000"/>
          <w:sz w:val="22"/>
          <w:szCs w:val="22"/>
        </w:rPr>
      </w:pPr>
      <w:r>
        <w:rPr>
          <w:b/>
          <w:bCs/>
          <w:color w:themeColor="text1" w:val="000000"/>
          <w:sz w:val="22"/>
          <w:szCs w:val="22"/>
        </w:rPr>
        <w:t xml:space="preserve">Fig. S8 | Candidate receiver populations do not show coordinated receptor up-regulation. Twenty-two aging-UP ligands in the fixed NicheNet network map to 76 receptors. Receptor age effects were estimated by donor pseudobulk (~arm + group) in five niche classes, three mature-neuron classes, and three rare depositor-labelled populations included only for exploration. A, Testability and regulation matrix for 76 receptors across 11 populations. Cells are coloured by HA-minus-YA log2 fold change when the receptor passes the direction-blind independent-filtering threshold and grey otherwise. No population shows a coherent aging-UP block. B, Mean receptor log2 fold change, oriented toward aging-UP, against a baseMean-matched 2,000-permutation null. All eight confirmatory populations fail the pre-specified criterion (directional Benjamini–Hochberg </w:t>
      </w:r>
      <w:r>
        <w:rPr>
          <w:i/>
          <w:b/>
          <w:bCs/>
          <w:color w:themeColor="text1" w:val="000000"/>
          <w:sz w:val="22"/>
          <w:szCs w:val="22"/>
        </w:rPr>
        <w:t xml:space="preserve">Q</w:t>
      </w:r>
      <w:r>
        <w:rPr>
          <w:b/>
          <w:bCs/>
          <w:color w:themeColor="text1" w:val="000000"/>
          <w:sz w:val="22"/>
          <w:szCs w:val="22"/>
        </w:rPr>
        <w:t xml:space="preserve"> = 0.986), and no shift in either direction survives FDR (minimum two-sided </w:t>
      </w:r>
      <w:r>
        <w:rPr>
          <w:i/>
          <w:b/>
          <w:bCs/>
          <w:color w:themeColor="text1" w:val="000000"/>
          <w:sz w:val="22"/>
          <w:szCs w:val="22"/>
        </w:rPr>
        <w:t xml:space="preserve">Q</w:t>
      </w:r>
      <w:r>
        <w:rPr>
          <w:b/>
          <w:bCs/>
          <w:color w:themeColor="text1" w:val="000000"/>
          <w:sz w:val="22"/>
          <w:szCs w:val="22"/>
        </w:rPr>
        <w:t xml:space="preserve"> = 0.12). Nominal downward tendencies in microglia, DG_GC, and CA_ExN do not survive correction. In the NSC-labelled cluster, 40/76 receptor genes enter the DE table and 22/40 are testable, matching the depth- and expression-matched expectation of 21.99 (</w:t>
      </w:r>
      <w:r>
        <w:rPr>
          <w:i/>
          <w:b/>
          <w:bCs/>
          <w:color w:themeColor="text1" w:val="000000"/>
          <w:sz w:val="22"/>
          <w:szCs w:val="22"/>
        </w:rPr>
        <w:t xml:space="preserve">P</w:t>
      </w:r>
      <w:r>
        <w:rPr>
          <w:b/>
          <w:bCs/>
          <w:color w:themeColor="text1" w:val="000000"/>
          <w:sz w:val="22"/>
          <w:szCs w:val="22"/>
        </w:rPr>
        <w:t xml:space="preserve"> = 0.68); 22/76 is the coverage-inclusive descriptive fraction. The result shows no coordinated receptor-remodelling response. It does not show that ligand–receptor signalling is absent or that genuine neurogenic cells cannot respond. Donors are the statistical units; seed 42.</w:t>
      </w:r>
    </w:p>
    <w:p>
      <w:pPr>
        <w:pStyle w:val="Normal"/>
        <w:rPr>
          <w:color w:themeColor="text1" w:val="000000"/>
          <w:sz w:val="22"/>
          <w:szCs w:val="22"/>
        </w:rPr>
      </w:pPr>
      <w:r>
        <w:rPr>
          <w:b/>
          <w:bCs/>
          <w:color w:themeColor="text1" w:val="000000"/>
          <w:sz w:val="22"/>
          <w:szCs w:val="22"/>
        </w:rPr>
        <w:t xml:space="preserve">Fig. S9 | Within-cohort AD projection and independent resilience receiver analysis.</w:t>
      </w:r>
      <w:r>
        <w:rPr>
          <w:color w:themeColor="text1" w:val="000000"/>
          <w:sz w:val="22"/>
          <w:szCs w:val="22"/>
        </w:rPr>
        <w:t xml:space="preserve"> Two pre-registered projections of the predefined 60-pair aging program. </w:t>
      </w:r>
      <w:r>
        <w:rPr>
          <w:b/>
          <w:bCs/>
          <w:color w:themeColor="text1" w:val="000000"/>
          <w:sz w:val="22"/>
          <w:szCs w:val="22"/>
        </w:rPr>
        <w:t xml:space="preserve">A,</w:t>
      </w:r>
      <w:r>
        <w:rPr>
          <w:color w:themeColor="text1" w:val="000000"/>
          <w:sz w:val="22"/>
          <w:szCs w:val="22"/>
        </w:rPr>
        <w:t xml:space="preserve"> Design: the GSE268609 YA–HA signature is projected onto the AD group in the same cohort and onto the separate GSE325391 granule-lineage cohort [22]. </w:t>
      </w:r>
      <w:r>
        <w:rPr>
          <w:b/>
          <w:bCs/>
          <w:color w:themeColor="text1" w:val="000000"/>
          <w:sz w:val="22"/>
          <w:szCs w:val="22"/>
        </w:rPr>
        <w:t xml:space="preserve">B,</w:t>
      </w:r>
      <w:r>
        <w:rPr>
          <w:color w:themeColor="text1" w:val="000000"/>
          <w:sz w:val="22"/>
          <w:szCs w:val="22"/>
        </w:rPr>
        <w:t xml:space="preserve"> Donor-level stage-averaged receptor-availability scores in resilient (RES, </w:t>
      </w:r>
      <w:r>
        <w:rPr>
          <w:i/>
          <w:color w:themeColor="text1" w:val="000000"/>
          <w:sz w:val="22"/>
          <w:szCs w:val="22"/>
        </w:rPr>
        <w:t xml:space="preserve">n</w:t>
      </w:r>
      <w:r>
        <w:rPr>
          <w:color w:themeColor="text1" w:val="000000"/>
          <w:sz w:val="22"/>
          <w:szCs w:val="22"/>
        </w:rPr>
        <w:t xml:space="preserve"> = 6) and susceptible severe-AD (SAD, </w:t>
      </w:r>
      <w:r>
        <w:rPr>
          <w:i/>
          <w:color w:themeColor="text1" w:val="000000"/>
          <w:sz w:val="22"/>
          <w:szCs w:val="22"/>
        </w:rPr>
        <w:t xml:space="preserve">n</w:t>
      </w:r>
      <w:r>
        <w:rPr>
          <w:color w:themeColor="text1" w:val="000000"/>
          <w:sz w:val="22"/>
          <w:szCs w:val="22"/>
        </w:rPr>
        <w:t xml:space="preserve"> = 7) high-pathology donors. The primary mixed-model comparison is null (SAD minus RES = −0.07 z; 95% CI, −0.335 to 0.195; two-sided </w:t>
      </w:r>
      <w:r>
        <w:rPr>
          <w:i/>
          <w:iCs/>
          <w:color w:themeColor="text1" w:val="000000"/>
          <w:sz w:val="22"/>
          <w:szCs w:val="22"/>
        </w:rPr>
        <w:t xml:space="preserve">P</w:t>
      </w:r>
      <w:r>
        <w:rPr>
          <w:color w:themeColor="text1" w:val="000000"/>
          <w:sz w:val="22"/>
          <w:szCs w:val="22"/>
        </w:rPr>
        <w:t xml:space="preserve"> = 0.54), with the same conclusion in all pre-specified variants. </w:t>
      </w:r>
      <w:r>
        <w:rPr>
          <w:b/>
          <w:bCs/>
          <w:color w:themeColor="text1" w:val="000000"/>
          <w:sz w:val="22"/>
          <w:szCs w:val="22"/>
        </w:rPr>
        <w:t xml:space="preserve">C,</w:t>
      </w:r>
      <w:r>
        <w:rPr>
          <w:color w:themeColor="text1" w:val="000000"/>
          <w:sz w:val="22"/>
          <w:szCs w:val="22"/>
        </w:rPr>
        <w:t xml:space="preserve"> GSE268609 module scores across YA, HA, MCI, and AD for each niche class (mean ± 95% CI). UP modules are solid/filled and DOWN modules dashed/open. MCI is cross-sectional context, not a temporal intermediate. </w:t>
      </w:r>
      <w:r>
        <w:rPr>
          <w:b/>
          <w:bCs/>
          <w:color w:themeColor="text1" w:val="000000"/>
          <w:sz w:val="22"/>
          <w:szCs w:val="22"/>
        </w:rPr>
        <w:t xml:space="preserve">D,</w:t>
      </w:r>
      <w:r>
        <w:rPr>
          <w:color w:themeColor="text1" w:val="000000"/>
          <w:sz w:val="22"/>
          <w:szCs w:val="22"/>
        </w:rPr>
        <w:t xml:space="preserve"> Effect-size classification of the 60 pairs after one R DESeq2 model per cell type and ashr shrinkage. Fifty-six retain the aging direction at gate A ≥ 0.25 and none reverses; 54 are maintained, 1 amplified, 1 AD-attenuated, and 0 AD-divergent, with 4 weak or indeterminate at the boundary. Only 5/56 reach adjusted </w:t>
      </w:r>
      <w:r>
        <w:rPr>
          <w:i/>
          <w:iCs/>
          <w:color w:themeColor="text1" w:val="000000"/>
          <w:sz w:val="22"/>
          <w:szCs w:val="22"/>
        </w:rPr>
        <w:t xml:space="preserve">P</w:t>
      </w:r>
      <w:r>
        <w:rPr>
          <w:color w:themeColor="text1" w:val="000000"/>
          <w:sz w:val="22"/>
          <w:szCs w:val="22"/>
        </w:rPr>
        <w:t xml:space="preserve"> &lt; 0.1 for AD versus HA, so these categories are not equivalence tests. </w:t>
      </w:r>
      <w:r>
        <w:rPr>
          <w:b/>
          <w:bCs/>
          <w:color w:themeColor="text1" w:val="000000"/>
          <w:sz w:val="22"/>
          <w:szCs w:val="22"/>
        </w:rPr>
        <w:t xml:space="preserve">E,</w:t>
      </w:r>
      <w:r>
        <w:rPr>
          <w:color w:themeColor="text1" w:val="000000"/>
          <w:sz w:val="22"/>
          <w:szCs w:val="22"/>
        </w:rPr>
        <w:t xml:space="preserve"> Classification by niche cell type. </w:t>
      </w:r>
      <w:r>
        <w:rPr>
          <w:b/>
          <w:bCs/>
          <w:color w:themeColor="text1" w:val="000000"/>
          <w:sz w:val="22"/>
          <w:szCs w:val="22"/>
        </w:rPr>
        <w:t xml:space="preserve">F,</w:t>
      </w:r>
      <w:r>
        <w:rPr>
          <w:color w:themeColor="text1" w:val="000000"/>
          <w:sz w:val="22"/>
          <w:szCs w:val="22"/>
        </w:rPr>
        <w:t xml:space="preserve"> Summary: the program appears largely retained and not broadly amplified in AD within the discovery cohort, while the independent receiver analysis detects no resilience association. Both comparisons are cross-sectional and make no progression claim.</w:t>
      </w:r>
    </w:p>
    <w:p>
      <w:pPr>
        <w:pStyle w:val="Heading1"/>
        <w:rPr>
          <w:color w:themeColor="text1" w:val="000000"/>
          <w:sz w:val="24"/>
          <w:szCs w:val="24"/>
        </w:rPr>
      </w:pPr>
      <w:r>
        <w:rPr>
          <w:color w:themeColor="text1" w:val="000000"/>
          <w:sz w:val="24"/>
          <w:szCs w:val="24"/>
        </w:rPr>
        <w:t xml:space="preserve">Supplementary tables</w:t>
      </w:r>
    </w:p>
    <w:p>
      <w:pPr>
        <w:pStyle w:val="Normal"/>
        <w:rPr>
          <w:color w:themeColor="text1" w:val="000000"/>
          <w:sz w:val="22"/>
          <w:szCs w:val="22"/>
        </w:rPr>
      </w:pPr>
      <w:r>
        <w:rPr>
          <w:b/>
          <w:bCs/>
          <w:color w:themeColor="text1" w:val="000000"/>
          <w:sz w:val="22"/>
          <w:szCs w:val="22"/>
        </w:rPr>
        <w:t xml:space="preserve">Table S1 | Donor-label permutation calibration of differential-expression counts. For each cohort×niche-cell-type combination, the donor-pseudobulk model was refitted after 100 donor-label permutations. The table reports the observed adjusted-</w:t>
      </w:r>
      <w:r>
        <w:rPr>
          <w:i/>
          <w:b/>
          <w:bCs/>
          <w:color w:themeColor="text1" w:val="000000"/>
          <w:sz w:val="22"/>
          <w:szCs w:val="22"/>
        </w:rPr>
        <w:t xml:space="preserve">P</w:t>
      </w:r>
      <w:r>
        <w:rPr>
          <w:b/>
          <w:bCs/>
          <w:color w:themeColor="text1" w:val="000000"/>
          <w:sz w:val="22"/>
          <w:szCs w:val="22"/>
        </w:rPr>
        <w:t xml:space="preserve"> &lt; 0.1 secretome count, null median, and empirical </w:t>
      </w:r>
      <w:r>
        <w:rPr>
          <w:i/>
          <w:b/>
          <w:bCs/>
          <w:color w:themeColor="text1" w:val="000000"/>
          <w:sz w:val="22"/>
          <w:szCs w:val="22"/>
        </w:rPr>
        <w:t xml:space="preserve">P</w:t>
      </w:r>
      <w:r>
        <w:rPr>
          <w:b/>
          <w:bCs/>
          <w:color w:themeColor="text1" w:val="000000"/>
          <w:sz w:val="22"/>
          <w:szCs w:val="22"/>
        </w:rPr>
        <w:t xml:space="preserve">-value; genome-wide counts at FDR &lt; 0.05 with the null median, 95th percentile, maximum, and empirical </w:t>
      </w:r>
      <w:r>
        <w:rPr>
          <w:i/>
          <w:b/>
          <w:bCs/>
          <w:color w:themeColor="text1" w:val="000000"/>
          <w:sz w:val="22"/>
          <w:szCs w:val="22"/>
        </w:rPr>
        <w:t xml:space="preserve">P</w:t>
      </w:r>
      <w:r>
        <w:rPr>
          <w:b/>
          <w:bCs/>
          <w:color w:themeColor="text1" w:val="000000"/>
          <w:sz w:val="22"/>
          <w:szCs w:val="22"/>
        </w:rPr>
        <w:t xml:space="preserve">-value; the fractions of permutations producing at least 1 or at least 10 Benjamini–Hochberg-significant genes; and the genome-wide count at FDR &lt; 0.1. GSE278576 endothelium appears as GATE_FAIL because only 6 YA and 2 HA donors were available, below the minimum-donor requirement. Empirical </w:t>
      </w:r>
      <w:r>
        <w:rPr>
          <w:i/>
          <w:b/>
          <w:bCs/>
          <w:color w:themeColor="text1" w:val="000000"/>
          <w:sz w:val="22"/>
          <w:szCs w:val="22"/>
        </w:rPr>
        <w:t xml:space="preserve">P</w:t>
      </w:r>
      <w:r>
        <w:rPr>
          <w:b/>
          <w:bCs/>
          <w:color w:themeColor="text1" w:val="000000"/>
          <w:sz w:val="22"/>
          <w:szCs w:val="22"/>
        </w:rPr>
        <w:t xml:space="preserve">-values cannot fall below 1/101 = 0.0099. The GSE268609 8-versus-9 split permits 24,310 unique label assignments (11,440 for the microglial and vascular comparisons, which are 7 versus 9), so 100 draws do not exhaust the space. These calibration results are summarised in the first Results subsection, which governs how the counts reported in later sections should be read.</w:t>
      </w:r>
    </w:p>
    <w:p>
      <w:pPr>
        <w:pStyle w:val="Normal"/>
        <w:rPr>
          <w:color w:themeColor="text1" w:val="000000"/>
          <w:sz w:val="22"/>
          <w:szCs w:val="22"/>
        </w:rPr>
      </w:pPr>
      <w:r>
        <w:rPr>
          <w:b/>
          <w:bCs/>
          <w:color w:themeColor="text1" w:val="000000"/>
          <w:sz w:val="22"/>
          <w:szCs w:val="22"/>
        </w:rPr>
        <w:t xml:space="preserve">Table S2 | Peak-level and gene-level matched nulls for chromatin accessibility.</w:t>
      </w:r>
      <w:r>
        <w:rPr>
          <w:color w:themeColor="text1" w:val="000000"/>
          <w:sz w:val="22"/>
          <w:szCs w:val="22"/>
        </w:rPr>
        <w:t xml:space="preserve"> Each niche-cell-type×gene-set row reports the RNA-oriented accessibility statistic when peaks are treated as units and when linked genes are treated as units. The table includes the observed mean and empirical </w:t>
      </w:r>
      <w:r>
        <w:rPr>
          <w:i/>
          <w:iCs/>
          <w:color w:themeColor="text1" w:val="000000"/>
          <w:sz w:val="22"/>
          <w:szCs w:val="22"/>
        </w:rPr>
        <w:t xml:space="preserve">P</w:t>
      </w:r>
      <w:r>
        <w:rPr>
          <w:color w:themeColor="text1" w:val="000000"/>
          <w:sz w:val="22"/>
          <w:szCs w:val="22"/>
        </w:rPr>
        <w:t xml:space="preserve"> at both levels, the gene-level sign-permutation and leave-one-gene-out </w:t>
      </w:r>
      <w:r>
        <w:rPr>
          <w:i/>
          <w:iCs/>
          <w:color w:themeColor="text1" w:val="000000"/>
          <w:sz w:val="22"/>
          <w:szCs w:val="22"/>
        </w:rPr>
        <w:t xml:space="preserve">P</w:t>
      </w:r>
      <w:r>
        <w:rPr>
          <w:color w:themeColor="text1" w:val="000000"/>
          <w:sz w:val="22"/>
          <w:szCs w:val="22"/>
        </w:rPr>
        <w:t xml:space="preserve">-values, the number of concordant genes, both null standard deviations and their ratio, and the peak-per-gene structure. Genes contribute 3.2–6.2 peaks on average; one gene can provide 2.5–68% of a set’s peaks (top_gene_share; TAFA1 contributes 33% in astrocytes and FGF13 68% in OPCs). The gene-level null is consequently 1.23–1.85 times as dispersed as the peak-level null. Peak-level </w:t>
      </w:r>
      <w:r>
        <w:rPr>
          <w:i/>
          <w:iCs/>
          <w:color w:themeColor="text1" w:val="000000"/>
          <w:sz w:val="22"/>
          <w:szCs w:val="22"/>
        </w:rPr>
        <w:t xml:space="preserve">P</w:t>
      </w:r>
      <w:r>
        <w:rPr>
          <w:color w:themeColor="text1" w:val="000000"/>
          <w:sz w:val="22"/>
          <w:szCs w:val="22"/>
        </w:rPr>
        <w:t xml:space="preserve">-values are included only for comparison; the gene is the inferential unit.</w:t>
      </w:r>
    </w:p>
    <w:p>
      <w:pPr>
        <w:pStyle w:val="Normal"/>
        <w:rPr>
          <w:color w:themeColor="text1" w:val="000000"/>
          <w:sz w:val="22"/>
          <w:szCs w:val="22"/>
        </w:rPr>
      </w:pPr>
      <w:r>
        <w:rPr>
          <w:b/>
          <w:bCs/>
          <w:color w:themeColor="text1" w:val="000000"/>
          <w:sz w:val="22"/>
          <w:szCs w:val="22"/>
        </w:rPr>
        <w:t xml:space="preserve">Table S3 | Motif-accessibility and TF-RNA concordance for individual TF–cell-type pairs.</w:t>
      </w:r>
      <w:r>
        <w:rPr>
          <w:color w:themeColor="text1" w:val="000000"/>
          <w:sz w:val="22"/>
          <w:szCs w:val="22"/>
        </w:rPr>
        <w:t xml:space="preserve"> The table has 62 rows: 31 for the HA-versus-YA analysis and 31 for the descriptive AD-versus-HA projection, distinguished by the contrast column. For each predefined combination with nominal HA-versus-YA chromVAR </w:t>
      </w:r>
      <w:r>
        <w:rPr>
          <w:i/>
          <w:iCs/>
          <w:color w:themeColor="text1" w:val="000000"/>
          <w:sz w:val="22"/>
          <w:szCs w:val="22"/>
        </w:rPr>
        <w:t xml:space="preserve">P</w:t>
      </w:r>
      <w:r>
        <w:rPr>
          <w:color w:themeColor="text1" w:val="000000"/>
          <w:sz w:val="22"/>
          <w:szCs w:val="22"/>
        </w:rPr>
        <w:t xml:space="preserve"> &lt; 0.05, the table gives the mapped factor; cell type; motif and motif family; motif chromVAR dz, nominal </w:t>
      </w:r>
      <w:r>
        <w:rPr>
          <w:i/>
          <w:iCs/>
          <w:color w:themeColor="text1" w:val="000000"/>
          <w:sz w:val="22"/>
          <w:szCs w:val="22"/>
        </w:rPr>
        <w:t xml:space="preserve">P</w:t>
      </w:r>
      <w:r>
        <w:rPr>
          <w:color w:themeColor="text1" w:val="000000"/>
          <w:sz w:val="22"/>
          <w:szCs w:val="22"/>
        </w:rPr>
        <w:t xml:space="preserve">, and cell-type-specific Benjamini–Hochberg </w:t>
      </w:r>
      <w:r>
        <w:rPr>
          <w:i/>
          <w:iCs/>
          <w:color w:themeColor="text1" w:val="000000"/>
          <w:sz w:val="22"/>
          <w:szCs w:val="22"/>
        </w:rPr>
        <w:t xml:space="preserve">Q</w:t>
      </w:r>
      <w:r>
        <w:rPr>
          <w:color w:themeColor="text1" w:val="000000"/>
          <w:sz w:val="22"/>
          <w:szCs w:val="22"/>
        </w:rPr>
        <w:t xml:space="preserve">; RNA log2 fold change, standard error, 95% confidence interval, exact </w:t>
      </w:r>
      <w:r>
        <w:rPr>
          <w:i/>
          <w:iCs/>
          <w:color w:themeColor="text1" w:val="000000"/>
          <w:sz w:val="22"/>
          <w:szCs w:val="22"/>
        </w:rPr>
        <w:t xml:space="preserve">P</w:t>
      </w:r>
      <w:r>
        <w:rPr>
          <w:color w:themeColor="text1" w:val="000000"/>
          <w:sz w:val="22"/>
          <w:szCs w:val="22"/>
        </w:rPr>
        <w:t xml:space="preserve">, and original differential-expression </w:t>
      </w:r>
      <w:r>
        <w:rPr>
          <w:i/>
          <w:iCs/>
          <w:color w:themeColor="text1" w:val="000000"/>
          <w:sz w:val="22"/>
          <w:szCs w:val="22"/>
        </w:rPr>
        <w:t xml:space="preserve">Q</w:t>
      </w:r>
      <w:r>
        <w:rPr>
          <w:color w:themeColor="text1" w:val="000000"/>
          <w:sz w:val="22"/>
          <w:szCs w:val="22"/>
        </w:rPr>
        <w:t xml:space="preserve">; baseMean; testability; the chromVAR and RNA signs; and the sign-concordance category. Nine of 31 factors are labelled D_not_testable for low expression. No combination is both concordant and FDR-significant, so that category does not appear in the table. Three testable rows have a blank adjusted RNA value because DESeq2 independent filtering does not return one at low baseMean.</w:t>
      </w:r>
    </w:p>
    <w:p>
      <w:pPr>
        <w:pStyle w:val="Heading1"/>
        <w:rPr>
          <w:color w:themeColor="text1" w:val="000000"/>
          <w:sz w:val="24"/>
          <w:szCs w:val="24"/>
        </w:rPr>
      </w:pPr>
      <w:r>
        <w:rPr>
          <w:color w:themeColor="text1" w:val="000000"/>
          <w:sz w:val="24"/>
          <w:szCs w:val="24"/>
        </w:rPr>
        <w:t xml:space="preserve">References</w:t>
      </w:r>
    </w:p>
    <w:p>
      <w:pPr>
        <w:pStyle w:val="ListParagraph"/>
        <w:numPr>
          <w:ilvl w:val="0"/>
          <w:numId w:val="3"/>
        </w:numPr>
        <w:spacing w:lineRule="auto" w:line="300" w:before="0" w:after="80"/>
        <w:rPr>
          <w:color w:themeColor="text1" w:val="000000"/>
          <w:sz w:val="22"/>
          <w:szCs w:val="22"/>
        </w:rPr>
      </w:pPr>
      <w:r>
        <w:rPr>
          <w:color w:themeColor="text1" w:val="000000"/>
          <w:sz w:val="22"/>
          <w:szCs w:val="22"/>
        </w:rPr>
        <w:t>Gonçalves JT, Schafer ST, Gage FH. Adult neurogenesis in the hippocampus: from stem cells to behavior. Cell. 2016;167(4):897–914. doi:10.1016/j.cell.2016.10.021</w:t>
      </w:r>
    </w:p>
    <w:p>
      <w:pPr>
        <w:pStyle w:val="ListParagraph"/>
        <w:numPr>
          <w:ilvl w:val="0"/>
          <w:numId w:val="1"/>
        </w:numPr>
        <w:spacing w:lineRule="auto" w:line="300" w:before="0" w:after="80"/>
        <w:rPr>
          <w:color w:themeColor="text1" w:val="000000"/>
          <w:sz w:val="22"/>
          <w:szCs w:val="22"/>
        </w:rPr>
      </w:pPr>
      <w:r>
        <w:rPr>
          <w:color w:themeColor="text1" w:val="000000"/>
          <w:sz w:val="22"/>
          <w:szCs w:val="22"/>
        </w:rPr>
        <w:t>Sorrells SF, Paredes MF, Cebrian-Silla A, et al. Human hippocampal neurogenesis drops sharply in children to undetectable levels in adults. Nature. 2018;555(7696):377–381. doi:10.1038/nature25975</w:t>
      </w:r>
    </w:p>
    <w:p>
      <w:pPr>
        <w:pStyle w:val="ListParagraph"/>
        <w:numPr>
          <w:ilvl w:val="0"/>
          <w:numId w:val="1"/>
        </w:numPr>
        <w:spacing w:lineRule="auto" w:line="300" w:before="0" w:after="80"/>
        <w:rPr>
          <w:color w:themeColor="text1" w:val="000000"/>
          <w:sz w:val="22"/>
          <w:szCs w:val="22"/>
        </w:rPr>
      </w:pPr>
      <w:r>
        <w:rPr>
          <w:color w:themeColor="text1" w:val="000000"/>
          <w:sz w:val="22"/>
          <w:szCs w:val="22"/>
        </w:rPr>
        <w:t>Boldrini M, Fulmore CA, Tartt AN, et al. Human hippocampal neurogenesis persists throughout aging. Cell Stem Cell. 2018;22(4):589–599.e5. doi:10.1016/j.stem.2018.03.015</w:t>
      </w:r>
    </w:p>
    <w:p>
      <w:pPr>
        <w:pStyle w:val="ListParagraph"/>
        <w:numPr>
          <w:ilvl w:val="0"/>
          <w:numId w:val="1"/>
        </w:numPr>
        <w:spacing w:lineRule="auto" w:line="300" w:before="0" w:after="80"/>
        <w:rPr>
          <w:color w:themeColor="text1" w:val="000000"/>
          <w:sz w:val="22"/>
          <w:szCs w:val="22"/>
        </w:rPr>
      </w:pPr>
      <w:r>
        <w:rPr>
          <w:color w:themeColor="text1" w:val="000000"/>
          <w:sz w:val="22"/>
          <w:szCs w:val="22"/>
        </w:rPr>
        <w:t>Moreno-Jiménez EP, Flor-García M, Terreros-Roncal J, et al. Adult hippocampal neurogenesis is abundant in neurologically healthy subjects and drops sharply in patients with Alzheimer’s disease. Nat Med. 2019;25(4):554–560. doi:10.1038/s41591-019-0375-9</w:t>
      </w:r>
    </w:p>
    <w:p>
      <w:pPr>
        <w:pStyle w:val="ListParagraph"/>
        <w:numPr>
          <w:ilvl w:val="0"/>
          <w:numId w:val="1"/>
        </w:numPr>
        <w:spacing w:lineRule="auto" w:line="300" w:before="0" w:after="80"/>
        <w:rPr>
          <w:color w:themeColor="text1" w:val="000000"/>
          <w:sz w:val="22"/>
          <w:szCs w:val="22"/>
        </w:rPr>
      </w:pPr>
      <w:r>
        <w:rPr>
          <w:color w:themeColor="text1" w:val="000000"/>
          <w:sz w:val="22"/>
          <w:szCs w:val="22"/>
        </w:rPr>
        <w:t>Montagne A, Barnes SR, Sweeney MD, et al. Blood-brain barrier breakdown in the aging human hippocampus. Neuron. 2015;85(2):296–302. doi:10.1016/j.neuron.2014.12.032</w:t>
      </w:r>
    </w:p>
    <w:p>
      <w:pPr>
        <w:pStyle w:val="ListParagraph"/>
        <w:numPr>
          <w:ilvl w:val="0"/>
          <w:numId w:val="1"/>
        </w:numPr>
        <w:spacing w:lineRule="auto" w:line="300" w:before="0" w:after="80"/>
        <w:rPr>
          <w:color w:themeColor="text1" w:val="000000"/>
          <w:sz w:val="22"/>
          <w:szCs w:val="22"/>
        </w:rPr>
      </w:pPr>
      <w:r>
        <w:rPr>
          <w:color w:themeColor="text1" w:val="000000"/>
          <w:sz w:val="22"/>
          <w:szCs w:val="22"/>
        </w:rPr>
        <w:t>Pluvinage JV, Haney MS, Smith BAH, et al. CD22 blockade restores homeostatic microglial phagocytosis in ageing brains. Nature. 2019;568(7751):187–192. doi:10.1038/s41586-019-1088-4</w:t>
      </w:r>
    </w:p>
    <w:p>
      <w:pPr>
        <w:pStyle w:val="ListParagraph"/>
        <w:numPr>
          <w:ilvl w:val="0"/>
          <w:numId w:val="1"/>
        </w:numPr>
        <w:spacing w:lineRule="auto" w:line="300" w:before="0" w:after="80"/>
        <w:rPr>
          <w:color w:themeColor="text1" w:val="000000"/>
          <w:sz w:val="22"/>
          <w:szCs w:val="22"/>
        </w:rPr>
      </w:pPr>
      <w:r>
        <w:rPr>
          <w:color w:themeColor="text1" w:val="000000"/>
          <w:sz w:val="22"/>
          <w:szCs w:val="22"/>
        </w:rPr>
        <w:t>Minhas PS, Latif-Hernandez A, McReynolds MR, et al. Restoring metabolism of myeloid cells reverses cognitive decline in ageing. Nature. 2021;590(7844):122–128. doi:10.1038/s41586-020-03160-0</w:t>
      </w:r>
    </w:p>
    <w:p>
      <w:pPr>
        <w:pStyle w:val="ListParagraph"/>
        <w:numPr>
          <w:ilvl w:val="0"/>
          <w:numId w:val="1"/>
        </w:numPr>
        <w:spacing w:lineRule="auto" w:line="300" w:before="0" w:after="80"/>
        <w:rPr>
          <w:color w:themeColor="text1" w:val="000000"/>
          <w:sz w:val="22"/>
          <w:szCs w:val="22"/>
        </w:rPr>
      </w:pPr>
      <w:r>
        <w:rPr>
          <w:color w:themeColor="text1" w:val="000000"/>
          <w:sz w:val="22"/>
          <w:szCs w:val="22"/>
        </w:rPr>
        <w:t>Yousef H, Czupalla CJ, Lee D, et al. Aged blood impairs hippocampal neural precursor activity and activates microglia via brain endothelial cell VCAM1. Nat Med. 2019;25(6):988–1000. doi:10.1038/s41591-019-0440-4</w:t>
      </w:r>
    </w:p>
    <w:p>
      <w:pPr>
        <w:pStyle w:val="ListParagraph"/>
        <w:numPr>
          <w:ilvl w:val="0"/>
          <w:numId w:val="1"/>
        </w:numPr>
        <w:spacing w:lineRule="auto" w:line="300" w:before="0" w:after="80"/>
        <w:rPr>
          <w:color w:themeColor="text1" w:val="000000"/>
          <w:sz w:val="22"/>
          <w:szCs w:val="22"/>
        </w:rPr>
      </w:pPr>
      <w:r>
        <w:rPr>
          <w:color w:themeColor="text1" w:val="000000"/>
          <w:sz w:val="22"/>
          <w:szCs w:val="22"/>
        </w:rPr>
        <w:t>Segel M, Neumann B, Hill MFE, et al. Niche stiffness underlies the ageing of central nervous system progenitor cells. Nature. 2019;573(7772):130–134. doi:10.1038/s41586-019-1484-9</w:t>
      </w:r>
    </w:p>
    <w:p>
      <w:pPr>
        <w:pStyle w:val="ListParagraph"/>
        <w:numPr>
          <w:ilvl w:val="0"/>
          <w:numId w:val="1"/>
        </w:numPr>
        <w:spacing w:lineRule="auto" w:line="300" w:before="0" w:after="80"/>
        <w:rPr>
          <w:color w:themeColor="text1" w:val="000000"/>
          <w:sz w:val="22"/>
          <w:szCs w:val="22"/>
        </w:rPr>
      </w:pPr>
      <w:r>
        <w:rPr>
          <w:color w:themeColor="text1" w:val="000000"/>
          <w:sz w:val="22"/>
          <w:szCs w:val="22"/>
        </w:rPr>
        <w:t>De Miguel Z, Khoury N, Betley MJ, et al. Exercise plasma boosts memory and dampens brain inflammation via clusterin. Nature. 2021;600(7889):494–499. doi:10.1038/s41586-021-04183-x</w:t>
      </w:r>
    </w:p>
    <w:p>
      <w:pPr>
        <w:pStyle w:val="ListParagraph"/>
        <w:numPr>
          <w:ilvl w:val="0"/>
          <w:numId w:val="1"/>
        </w:numPr>
        <w:spacing w:lineRule="auto" w:line="300" w:before="0" w:after="80"/>
        <w:rPr>
          <w:color w:themeColor="text1" w:val="000000"/>
          <w:sz w:val="22"/>
          <w:szCs w:val="22"/>
        </w:rPr>
      </w:pPr>
      <w:r>
        <w:rPr>
          <w:color w:themeColor="text1" w:val="000000"/>
          <w:sz w:val="22"/>
          <w:szCs w:val="22"/>
        </w:rPr>
        <w:t>Iram T, Kern F, Kaur A, et al. Young CSF restores oligodendrogenesis and memory in aged mice via Fgf17. Nature. 2022;605(7910):509–515. doi:10.1038/s41586-022-04722-0</w:t>
      </w:r>
    </w:p>
    <w:p>
      <w:pPr>
        <w:pStyle w:val="ListParagraph"/>
        <w:numPr>
          <w:ilvl w:val="0"/>
          <w:numId w:val="1"/>
        </w:numPr>
        <w:spacing w:lineRule="auto" w:line="300" w:before="0" w:after="80"/>
        <w:rPr>
          <w:color w:themeColor="text1" w:val="000000"/>
          <w:sz w:val="22"/>
          <w:szCs w:val="22"/>
        </w:rPr>
      </w:pPr>
      <w:r>
        <w:rPr>
          <w:color w:themeColor="text1" w:val="000000"/>
          <w:sz w:val="22"/>
          <w:szCs w:val="22"/>
        </w:rPr>
        <w:t>Coppé JP, Desprez PY, Krtolica A, Campisi J. The senescence-associated secretory phenotype: the dark side of tumor suppression. Annu Rev Pathol. 2010;5:99–118. doi:10.1146/annurev-pathol-121808-102144</w:t>
      </w:r>
    </w:p>
    <w:p>
      <w:pPr>
        <w:pStyle w:val="ListParagraph"/>
        <w:numPr>
          <w:ilvl w:val="0"/>
          <w:numId w:val="1"/>
        </w:numPr>
        <w:spacing w:lineRule="auto" w:line="300" w:before="0" w:after="80"/>
        <w:rPr>
          <w:color w:themeColor="text1" w:val="000000"/>
          <w:sz w:val="22"/>
          <w:szCs w:val="22"/>
        </w:rPr>
      </w:pPr>
      <w:r>
        <w:rPr>
          <w:color w:themeColor="text1" w:val="000000"/>
          <w:sz w:val="22"/>
          <w:szCs w:val="22"/>
        </w:rPr>
        <w:t>Saul D, Kosinsky RL, Atkinson EJ, et al. A new gene set identifies senescent cells and predicts senescence-associated pathways across tissues. Nat Commun. 2022;13(1):4827. doi:10.1038/s41467-022-32552-1</w:t>
      </w:r>
    </w:p>
    <w:p>
      <w:pPr>
        <w:pStyle w:val="ListParagraph"/>
        <w:numPr>
          <w:ilvl w:val="0"/>
          <w:numId w:val="1"/>
        </w:numPr>
        <w:spacing w:lineRule="auto" w:line="300" w:before="0" w:after="80"/>
        <w:rPr>
          <w:color w:themeColor="text1" w:val="000000"/>
          <w:sz w:val="22"/>
          <w:szCs w:val="22"/>
        </w:rPr>
      </w:pPr>
      <w:r>
        <w:rPr>
          <w:color w:themeColor="text1" w:val="000000"/>
          <w:sz w:val="22"/>
          <w:szCs w:val="22"/>
        </w:rPr>
        <w:t>Basisty N, Kale A, Jeon OH, et al. A proteomic atlas of senescence-associated secretomes for aging biomarker development. PLoS Biol. 2020;18(1):e3000599. doi:10.1371/journal.pbio.3000599</w:t>
      </w:r>
    </w:p>
    <w:p>
      <w:pPr>
        <w:pStyle w:val="ListParagraph"/>
        <w:numPr>
          <w:ilvl w:val="0"/>
          <w:numId w:val="1"/>
        </w:numPr>
        <w:spacing w:lineRule="auto" w:line="300" w:before="0" w:after="80"/>
        <w:rPr>
          <w:color w:themeColor="text1" w:val="000000"/>
          <w:sz w:val="22"/>
          <w:szCs w:val="22"/>
        </w:rPr>
      </w:pPr>
      <w:r>
        <w:rPr>
          <w:color w:themeColor="text1" w:val="000000"/>
          <w:sz w:val="22"/>
          <w:szCs w:val="22"/>
        </w:rPr>
        <w:t>Wingo AP, Dammer EB, Breen MS, et al. Large-scale proteomic analysis of human brain identifies proteins associated with cognitive trajectory in advanced age. Nat Commun. 2019;10(1):1619. doi:10.1038/s41467-019-09613-z</w:t>
      </w:r>
    </w:p>
    <w:p>
      <w:pPr>
        <w:pStyle w:val="ListParagraph"/>
        <w:numPr>
          <w:ilvl w:val="0"/>
          <w:numId w:val="1"/>
        </w:numPr>
        <w:spacing w:lineRule="auto" w:line="300" w:before="0" w:after="80"/>
        <w:rPr>
          <w:color w:themeColor="text1" w:val="000000"/>
          <w:sz w:val="22"/>
          <w:szCs w:val="22"/>
        </w:rPr>
      </w:pPr>
      <w:r>
        <w:rPr>
          <w:color w:themeColor="text1" w:val="000000"/>
          <w:sz w:val="22"/>
          <w:szCs w:val="22"/>
        </w:rPr>
        <w:t>Seo D, Do AN, Heo G, et al. Cerebrospinal fluid proteomic signatures in cognitively normal individuals identify distinct clusters linked to neurodegeneration. Nat Aging. 2025;5(10):2125–2141. doi:10.1038/s43587-025-00971-6</w:t>
      </w:r>
    </w:p>
    <w:p>
      <w:pPr>
        <w:pStyle w:val="ListParagraph"/>
        <w:numPr>
          <w:ilvl w:val="0"/>
          <w:numId w:val="1"/>
        </w:numPr>
        <w:spacing w:lineRule="auto" w:line="300" w:before="0" w:after="80"/>
        <w:rPr>
          <w:color w:themeColor="text1" w:val="000000"/>
          <w:sz w:val="22"/>
          <w:szCs w:val="22"/>
        </w:rPr>
      </w:pPr>
      <w:r>
        <w:rPr>
          <w:color w:themeColor="text1" w:val="000000"/>
          <w:sz w:val="22"/>
          <w:szCs w:val="22"/>
        </w:rPr>
        <w:t>Disouky A, Sanborn MA, Sabitha KR, et al. Human hippocampal neurogenesis in adulthood, ageing and Alzheimer’s disease. Nature. 2026;652(8112):1264–1273. doi:10.1038/s41586-026-10169-4</w:t>
      </w:r>
    </w:p>
    <w:p>
      <w:pPr>
        <w:pStyle w:val="ListParagraph"/>
        <w:numPr>
          <w:ilvl w:val="0"/>
          <w:numId w:val="1"/>
        </w:numPr>
        <w:spacing w:lineRule="auto" w:line="300" w:before="0" w:after="80"/>
        <w:rPr>
          <w:color w:themeColor="text1" w:val="000000"/>
          <w:sz w:val="22"/>
          <w:szCs w:val="22"/>
        </w:rPr>
      </w:pPr>
      <w:r>
        <w:rPr>
          <w:color w:themeColor="text1" w:val="000000"/>
          <w:sz w:val="22"/>
          <w:szCs w:val="22"/>
        </w:rPr>
        <w:t>Zemke NR, Lee S, Mamde S, et al. Epigenetic and 3D genome reprogramming during the aging of the human hippocampus. Science. 2026;393(6809):eadt8307. doi:10.1126/science.adt8307</w:t>
      </w:r>
    </w:p>
    <w:p>
      <w:pPr>
        <w:pStyle w:val="ListParagraph"/>
        <w:numPr>
          <w:ilvl w:val="0"/>
          <w:numId w:val="1"/>
        </w:numPr>
        <w:spacing w:lineRule="auto" w:line="300" w:before="0" w:after="80"/>
        <w:rPr>
          <w:color w:themeColor="text1" w:val="000000"/>
          <w:sz w:val="22"/>
          <w:szCs w:val="22"/>
        </w:rPr>
      </w:pPr>
      <w:r>
        <w:rPr>
          <w:color w:themeColor="text1" w:val="000000"/>
          <w:sz w:val="22"/>
          <w:szCs w:val="22"/>
        </w:rPr>
        <w:t>Franjic D, Skarica M, Ma S, et al. Transcriptomic taxonomy and neurogenic trajectories of adult human, macaque, and pig hippocampal and entorhinal cells. Neuron. 2022;110(3):452–469.e14. doi:10.1016/j.neuron.2021.10.036</w:t>
      </w:r>
    </w:p>
    <w:p>
      <w:pPr>
        <w:pStyle w:val="ListParagraph"/>
        <w:numPr>
          <w:ilvl w:val="0"/>
          <w:numId w:val="1"/>
        </w:numPr>
        <w:spacing w:lineRule="auto" w:line="300" w:before="0" w:after="80"/>
        <w:rPr>
          <w:color w:themeColor="text1" w:val="000000"/>
          <w:sz w:val="22"/>
          <w:szCs w:val="22"/>
        </w:rPr>
      </w:pPr>
      <w:r>
        <w:rPr>
          <w:color w:themeColor="text1" w:val="000000"/>
          <w:sz w:val="22"/>
          <w:szCs w:val="22"/>
        </w:rPr>
        <w:t>Su Y, Zhou Y, Bennett ML, et al. A single-cell transcriptome atlas of glial diversity in the human hippocampus across the postnatal lifespan. Cell Stem Cell. 2022;29(11):1594–1610.e8. doi:10.1016/j.stem.2022.09.010</w:t>
      </w:r>
    </w:p>
    <w:p>
      <w:pPr>
        <w:pStyle w:val="ListParagraph"/>
        <w:numPr>
          <w:ilvl w:val="0"/>
          <w:numId w:val="1"/>
        </w:numPr>
        <w:spacing w:lineRule="auto" w:line="300" w:before="0" w:after="80"/>
        <w:rPr>
          <w:color w:themeColor="text1" w:val="000000"/>
          <w:sz w:val="22"/>
          <w:szCs w:val="22"/>
        </w:rPr>
      </w:pPr>
      <w:r>
        <w:rPr>
          <w:color w:themeColor="text1" w:val="000000"/>
          <w:sz w:val="22"/>
          <w:szCs w:val="22"/>
        </w:rPr>
        <w:t>Thompson JR, Nelson ED, Tippani M, et al. An integrated single-nucleus and spatial transcriptomics atlas reveals the molecular landscape of the human hippocampus. Nat Neurosci. 2025;28(9):1990–2004. doi:10.1038/s41593-025-02022-0</w:t>
      </w:r>
    </w:p>
    <w:p>
      <w:pPr>
        <w:pStyle w:val="ListParagraph"/>
        <w:numPr>
          <w:ilvl w:val="0"/>
          <w:numId w:val="1"/>
        </w:numPr>
        <w:spacing w:lineRule="auto" w:line="300" w:before="0" w:after="80"/>
        <w:rPr>
          <w:color w:themeColor="text1" w:val="000000"/>
          <w:sz w:val="22"/>
          <w:szCs w:val="22"/>
        </w:rPr>
      </w:pPr>
      <w:r>
        <w:rPr>
          <w:color w:themeColor="text1" w:val="000000"/>
          <w:sz w:val="22"/>
          <w:szCs w:val="22"/>
        </w:rPr>
        <w:t>Tosoni G, Ayyildiz D, Snoeck S, et al. Transcriptional profiles of immature neurons in aged human hippocampus track Alzheimer’s pathology and cognitive resilience. Cell Stem Cell. 2026;33(5):763–783.e9. doi:10.1016/j.stem.2026.04.002</w:t>
      </w:r>
    </w:p>
    <w:p>
      <w:pPr>
        <w:pStyle w:val="ListParagraph"/>
        <w:numPr>
          <w:ilvl w:val="0"/>
          <w:numId w:val="1"/>
        </w:numPr>
        <w:spacing w:lineRule="auto" w:line="300" w:before="0" w:after="80"/>
        <w:rPr>
          <w:color w:themeColor="text1" w:val="000000"/>
          <w:sz w:val="22"/>
          <w:szCs w:val="22"/>
        </w:rPr>
      </w:pPr>
      <w:r>
        <w:rPr>
          <w:color w:themeColor="text1" w:val="000000"/>
          <w:sz w:val="22"/>
          <w:szCs w:val="22"/>
        </w:rPr>
        <w:t>Traag VA, Waltman L, van Eck NJ. From Louvain to Leiden: guaranteeing well-connected communities. Sci Rep. 2019;9(1):5233. doi:10.1038/s41598-019-41695-z</w:t>
      </w:r>
    </w:p>
    <w:p>
      <w:pPr>
        <w:pStyle w:val="ListParagraph"/>
        <w:numPr>
          <w:ilvl w:val="0"/>
          <w:numId w:val="1"/>
        </w:numPr>
        <w:spacing w:lineRule="auto" w:line="300" w:before="0" w:after="80"/>
        <w:rPr>
          <w:color w:themeColor="text1" w:val="000000"/>
          <w:sz w:val="22"/>
          <w:szCs w:val="22"/>
        </w:rPr>
      </w:pPr>
      <w:r>
        <w:rPr>
          <w:color w:themeColor="text1" w:val="000000"/>
          <w:sz w:val="22"/>
          <w:szCs w:val="22"/>
        </w:rPr>
        <w:t xml:space="preserve">Uhlén M, Karlsson MJ, Hober A, et al. The human secretome. Sci Signal. 2019;12(609):eaaz0274. doi:10.1126/scisignal.aaz0274 </w:t>
      </w:r>
    </w:p>
    <w:p>
      <w:pPr>
        <w:pStyle w:val="ListParagraph"/>
        <w:numPr>
          <w:ilvl w:val="0"/>
          <w:numId w:val="1"/>
        </w:numPr>
        <w:spacing w:lineRule="auto" w:line="300" w:before="0" w:after="80"/>
        <w:rPr>
          <w:color w:themeColor="text1" w:val="000000"/>
          <w:sz w:val="22"/>
          <w:szCs w:val="22"/>
        </w:rPr>
      </w:pPr>
      <w:r>
        <w:rPr>
          <w:color w:themeColor="text1" w:val="000000"/>
          <w:sz w:val="22"/>
          <w:szCs w:val="22"/>
        </w:rPr>
        <w:t>The UniProt Consortium. UniProt: the Universal Protein Knowledgebase in 2023. Nucleic Acids Res. 2023;51(D1):D523–D531. doi:10.1093/nar/gkac1052</w:t>
      </w:r>
    </w:p>
    <w:p>
      <w:pPr>
        <w:pStyle w:val="ListParagraph"/>
        <w:numPr>
          <w:ilvl w:val="0"/>
          <w:numId w:val="1"/>
        </w:numPr>
        <w:spacing w:lineRule="auto" w:line="300" w:before="0" w:after="80"/>
        <w:rPr>
          <w:color w:themeColor="text1" w:val="000000"/>
          <w:sz w:val="22"/>
          <w:szCs w:val="22"/>
        </w:rPr>
      </w:pPr>
      <w:r>
        <w:rPr>
          <w:color w:themeColor="text1" w:val="000000"/>
          <w:sz w:val="22"/>
          <w:szCs w:val="22"/>
        </w:rPr>
        <w:t>Muzellec B, Teleńczuk M, Cabeli V, Andreux M. PyDESeq2: a python package for bulk RNA-seq differential expression analysis. Bioinformatics. 2023;39(9):btad547. doi:10.1093/bioinformatics/btad547</w:t>
      </w:r>
    </w:p>
    <w:p>
      <w:pPr>
        <w:pStyle w:val="ListParagraph"/>
        <w:numPr>
          <w:ilvl w:val="0"/>
          <w:numId w:val="1"/>
        </w:numPr>
        <w:spacing w:lineRule="auto" w:line="300" w:before="0" w:after="80"/>
        <w:rPr>
          <w:color w:themeColor="text1" w:val="000000"/>
          <w:sz w:val="22"/>
          <w:szCs w:val="22"/>
        </w:rPr>
      </w:pPr>
      <w:r>
        <w:rPr>
          <w:color w:themeColor="text1" w:val="000000"/>
          <w:sz w:val="22"/>
          <w:szCs w:val="22"/>
        </w:rPr>
        <w:t>Wolf FA, Angerer P, Theis FJ. SCANPY: large-scale single-cell gene expression data analysis. Genome Biol. 2018;19(1):15. doi:10.1186/s13059-017-1382-0</w:t>
      </w:r>
    </w:p>
    <w:p>
      <w:pPr>
        <w:pStyle w:val="ListParagraph"/>
        <w:numPr>
          <w:ilvl w:val="0"/>
          <w:numId w:val="1"/>
        </w:numPr>
        <w:spacing w:lineRule="auto" w:line="300" w:before="0" w:after="80"/>
        <w:rPr>
          <w:color w:themeColor="text1" w:val="000000"/>
          <w:sz w:val="22"/>
          <w:szCs w:val="22"/>
        </w:rPr>
      </w:pPr>
      <w:r>
        <w:rPr>
          <w:color w:themeColor="text1" w:val="000000"/>
          <w:sz w:val="22"/>
          <w:szCs w:val="22"/>
        </w:rPr>
        <w:t>Schep AN, Wu B, Buenrostro JD, Greenleaf WJ. chromVAR: inferring transcription-factor-associated accessibility from single-cell epigenomic data. Nat Methods. 2017;14(10):975–978. doi:10.1038/nmeth.4401</w:t>
      </w:r>
    </w:p>
    <w:p>
      <w:pPr>
        <w:pStyle w:val="ListParagraph"/>
        <w:numPr>
          <w:ilvl w:val="0"/>
          <w:numId w:val="1"/>
        </w:numPr>
        <w:spacing w:lineRule="auto" w:line="300" w:before="0" w:after="80"/>
        <w:rPr>
          <w:color w:themeColor="text1" w:val="000000"/>
          <w:sz w:val="22"/>
          <w:szCs w:val="22"/>
        </w:rPr>
      </w:pPr>
      <w:r>
        <w:rPr>
          <w:color w:themeColor="text1" w:val="000000"/>
          <w:sz w:val="22"/>
          <w:szCs w:val="22"/>
        </w:rPr>
        <w:t>Stuart T, Srivastava A, Madad S, Lareau CA, Satija R. Single-cell chromatin state analysis with Signac. Nat Methods. 2021;18(11):1333–1341. doi:10.1038/s41592-021-01282-5</w:t>
      </w:r>
    </w:p>
    <w:p>
      <w:pPr>
        <w:pStyle w:val="ListParagraph"/>
        <w:numPr>
          <w:ilvl w:val="0"/>
          <w:numId w:val="1"/>
        </w:numPr>
        <w:spacing w:lineRule="auto" w:line="300" w:before="0" w:after="80"/>
        <w:rPr>
          <w:color w:themeColor="text1" w:val="000000"/>
          <w:sz w:val="22"/>
          <w:szCs w:val="22"/>
        </w:rPr>
      </w:pPr>
      <w:r>
        <w:rPr>
          <w:color w:themeColor="text1" w:val="000000"/>
          <w:sz w:val="22"/>
          <w:szCs w:val="22"/>
        </w:rPr>
        <w:t>Fornes O, Castro-Mondragon JA, Khan A, et al. JASPAR 2020: update of the open-access database of transcription factor binding profiles. Nucleic Acids Res. 2020;48(D1):D87–D92. doi:10.1093/nar/gkz1001</w:t>
      </w:r>
    </w:p>
    <w:p>
      <w:pPr>
        <w:pStyle w:val="ListParagraph"/>
        <w:numPr>
          <w:ilvl w:val="0"/>
          <w:numId w:val="1"/>
        </w:numPr>
        <w:spacing w:lineRule="auto" w:line="300" w:before="0" w:after="80"/>
        <w:rPr>
          <w:color w:themeColor="text1" w:val="000000"/>
          <w:sz w:val="22"/>
          <w:szCs w:val="22"/>
        </w:rPr>
      </w:pPr>
      <w:r>
        <w:rPr>
          <w:color w:themeColor="text1" w:val="000000"/>
          <w:sz w:val="22"/>
          <w:szCs w:val="22"/>
        </w:rPr>
        <w:t>Browaeys R, Saelens W, Saeys Y. NicheNet: modeling intercellular communication by linking ligands to target genes. Nat Methods. 2020;17(2):159–162. doi:10.1038/s41592-019-0667-5</w:t>
      </w:r>
    </w:p>
    <w:p>
      <w:pPr>
        <w:pStyle w:val="ListParagraph"/>
        <w:numPr>
          <w:ilvl w:val="0"/>
          <w:numId w:val="1"/>
        </w:numPr>
        <w:spacing w:lineRule="auto" w:line="300" w:before="0" w:after="80"/>
        <w:rPr>
          <w:color w:themeColor="text1" w:val="000000"/>
          <w:sz w:val="22"/>
          <w:szCs w:val="22"/>
        </w:rPr>
      </w:pPr>
      <w:r>
        <w:rPr>
          <w:color w:themeColor="text1" w:val="000000"/>
          <w:sz w:val="22"/>
          <w:szCs w:val="22"/>
        </w:rPr>
        <w:t>Fang Z, Liu X, Peltz G. GSEApy: a comprehensive package for performing gene set enrichment analysis in Python. Bioinformatics. 2023;39(1):btac757. doi:10.1093/bioinformatics/btac757</w:t>
      </w:r>
    </w:p>
    <w:p>
      <w:pPr>
        <w:pStyle w:val="ListParagraph"/>
        <w:numPr>
          <w:ilvl w:val="0"/>
          <w:numId w:val="1"/>
        </w:numPr>
        <w:spacing w:lineRule="auto" w:line="300" w:before="0" w:after="80"/>
        <w:rPr>
          <w:color w:themeColor="text1" w:val="000000"/>
          <w:sz w:val="22"/>
          <w:szCs w:val="22"/>
        </w:rPr>
      </w:pPr>
      <w:r>
        <w:rPr>
          <w:color w:themeColor="text1" w:val="000000"/>
          <w:sz w:val="22"/>
          <w:szCs w:val="22"/>
        </w:rPr>
        <w:t>Liddelow SA, Guttenplan KA, Clarke LE, et al. Neurotoxic reactive astrocytes are induced by activated microglia. Nature. 2017;541(7638):481–487. doi:10.1038/nature21029</w:t>
      </w:r>
    </w:p>
    <w:p>
      <w:pPr>
        <w:pStyle w:val="ListParagraph"/>
        <w:numPr>
          <w:ilvl w:val="0"/>
          <w:numId w:val="1"/>
        </w:numPr>
        <w:spacing w:lineRule="auto" w:line="300" w:before="0" w:after="80"/>
        <w:rPr>
          <w:color w:themeColor="text1" w:val="000000"/>
          <w:sz w:val="22"/>
          <w:szCs w:val="22"/>
        </w:rPr>
      </w:pPr>
      <w:r>
        <w:rPr>
          <w:color w:themeColor="text1" w:val="000000"/>
          <w:sz w:val="22"/>
          <w:szCs w:val="22"/>
        </w:rPr>
        <w:t>Bussian TJ, Aziz A, Meyer CF, et al. Clearance of senescent glial cells prevents tau-dependent pathology and cognitive decline. Nature. 2018;562(7728):578–582. doi:10.1038/s41586-018-0543-y</w:t>
      </w:r>
    </w:p>
    <w:p>
      <w:pPr>
        <w:pStyle w:val="ListParagraph"/>
        <w:numPr>
          <w:ilvl w:val="0"/>
          <w:numId w:val="1"/>
        </w:numPr>
        <w:spacing w:lineRule="auto" w:line="300" w:before="0" w:after="80"/>
        <w:rPr>
          <w:color w:themeColor="text1" w:val="000000"/>
          <w:sz w:val="22"/>
          <w:szCs w:val="22"/>
        </w:rPr>
      </w:pPr>
      <w:r>
        <w:rPr>
          <w:color w:themeColor="text1" w:val="000000"/>
          <w:sz w:val="22"/>
          <w:szCs w:val="22"/>
        </w:rPr>
        <w:t>Dixit A, Parnas O, Li B, et al. Perturb-Seq: dissecting molecular circuits with scalable single-cell RNA profiling of pooled genetic screens. Cell. 2016;167(7):1853–1866.e17. doi:10.1016/j.cell.2016.11.038</w:t>
      </w:r>
    </w:p>
    <w:p>
      <w:pPr>
        <w:pStyle w:val="ListParagraph"/>
        <w:numPr>
          <w:ilvl w:val="0"/>
          <w:numId w:val="1"/>
        </w:numPr>
        <w:spacing w:lineRule="auto" w:line="300" w:before="0" w:after="80"/>
        <w:rPr>
          <w:color w:themeColor="text1" w:val="000000"/>
          <w:sz w:val="22"/>
          <w:szCs w:val="22"/>
        </w:rPr>
      </w:pPr>
      <w:r>
        <w:rPr>
          <w:color w:themeColor="text1" w:val="000000"/>
          <w:sz w:val="22"/>
          <w:szCs w:val="22"/>
        </w:rPr>
        <w:t>Ormel PR, Vieira de Sá R, van Bodegraven EJ, et al. Microglia innately develop within cerebral organoids. Nat Commun. 2018;9(1):4167. doi:10.1038/s41467-018-06684-2</w:t>
      </w:r>
    </w:p>
    <w:p>
      <w:pPr>
        <w:pStyle w:val="ListParagraph"/>
        <w:numPr>
          <w:ilvl w:val="0"/>
          <w:numId w:val="1"/>
        </w:numPr>
        <w:spacing w:lineRule="auto" w:line="300" w:before="0" w:after="80"/>
        <w:rPr>
          <w:color w:themeColor="text1" w:val="000000"/>
          <w:sz w:val="22"/>
          <w:szCs w:val="22"/>
        </w:rPr>
      </w:pPr>
      <w:r>
        <w:rPr>
          <w:color w:themeColor="text1" w:val="000000"/>
          <w:sz w:val="22"/>
          <w:szCs w:val="22"/>
        </w:rPr>
        <w:t>Cakir B, Xiang Y, Tanaka Y, et al. Engineering of human brain organoids with a functional vascular-like system. Nat Methods. 2019;16(11):1169–1175. doi:10.1038/s41592-019-0586-5</w:t>
      </w:r>
    </w:p>
    <w:p>
      <w:pPr>
        <w:pStyle w:val="ListParagraph"/>
        <w:numPr>
          <w:ilvl w:val="0"/>
          <w:numId w:val="1"/>
        </w:numPr>
        <w:spacing w:lineRule="auto" w:line="300" w:before="0" w:after="80"/>
        <w:rPr>
          <w:color w:themeColor="text1" w:val="000000"/>
          <w:sz w:val="22"/>
          <w:szCs w:val="22"/>
        </w:rPr>
      </w:pPr>
      <w:r>
        <w:rPr>
          <w:color w:themeColor="text1" w:val="000000"/>
          <w:sz w:val="22"/>
          <w:szCs w:val="22"/>
        </w:rPr>
        <w:t>Eng CL, Lawson M, Zhu Q, et al. Transcriptome-scale super-resolved imaging in tissues by RNA seqFISH. Nature. 2019;568(7751):235–239. doi:10.1038/s41586-019-1049-y</w:t>
      </w:r>
    </w:p>
    <w:p>
      <w:pPr>
        <w:pStyle w:val="ListParagraph"/>
        <w:spacing w:lineRule="auto" w:line="300" w:before="0" w:after="80"/>
        <w:ind w:left="440"/>
        <w:rPr>
          <w:color w:themeColor="text1" w:val="000000"/>
          <w:sz w:val="22"/>
          <w:szCs w:val="22"/>
        </w:rPr>
      </w:pPr>
      <w:r>
        <w:rPr>
          <w:color w:themeColor="text1" w:val="000000"/>
          <w:sz w:val="22"/>
          <w:szCs w:val="22"/>
        </w:rPr>
      </w:r>
    </w:p>
    <w:sectPr>
      <w:footerReference w:type="even" ns2:id="rId2"/>
      <w:footerReference w:type="default" ns2:id="rId3"/>
      <w:footerReference w:type="first" ns2:id="rId4"/>
      <w:type w:val="nextPage"/>
      <w:pgSz w:w="11906" w:h="16838"/>
      <w:pgMar w:left="1440" w:right="1440" w:gutter="0" w:header="0"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40" w:before="0" w:after="0"/>
      <w:jc w:val="center"/>
      <w:rPr/>
    </w:pPr>
    <w:r>
      <w:rPr>
        <w:sz w:val="20"/>
        <w:szCs w:val="20"/>
      </w:rPr>
      <w:fldChar w:fldCharType="begin"/>
    </w:r>
    <w:r>
      <w:rPr>
        <w:sz w:val="20"/>
        <w:szCs w:val="20"/>
      </w:rPr>
      <w:instrText xml:space="preserve"> PAGE </w:instrText>
    </w:r>
    <w:r>
      <w:rPr>
        <w:sz w:val="20"/>
        <w:szCs w:val="20"/>
      </w:rPr>
      <w:fldChar w:fldCharType="separate"/>
    </w:r>
    <w:r>
      <w:rPr>
        <w:sz w:val="20"/>
        <w:szCs w:val="20"/>
      </w:rPr>
      <w:t>35</w:t>
    </w:r>
    <w:r>
      <w:rPr>
        <w:sz w:val="20"/>
        <w:szCs w:val="20"/>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40" w:before="0" w:after="0"/>
      <w:jc w:val="center"/>
      <w:rPr/>
    </w:pPr>
    <w:r>
      <w:rPr>
        <w:sz w:val="20"/>
        <w:szCs w:val="20"/>
      </w:rPr>
      <w:fldChar w:fldCharType="begin"/>
    </w:r>
    <w:r>
      <w:rPr>
        <w:sz w:val="20"/>
        <w:szCs w:val="20"/>
      </w:rPr>
      <w:instrText xml:space="preserve"> PAGE </w:instrText>
    </w:r>
    <w:r>
      <w:rPr>
        <w:sz w:val="20"/>
        <w:szCs w:val="20"/>
      </w:rPr>
      <w:fldChar w:fldCharType="separate"/>
    </w:r>
    <w:r>
      <w:rPr>
        <w:sz w:val="20"/>
        <w:szCs w:val="20"/>
      </w:rPr>
      <w:t>35</w:t>
    </w:r>
    <w:r>
      <w:rPr>
        <w:sz w:val="20"/>
        <w:szCs w:val="20"/>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440" w:hanging="44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83"/>
  <w:defaultTabStop w:val="84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游明朝" w:cs="Times New Roman" w:eastAsiaTheme="minorEastAsia"/>
        <w:sz w:val="24"/>
        <w:szCs w:val="24"/>
        <w:lang w:val="en-US" w:eastAsia="ja-JP"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false"/>
      <w:bidi w:val="0"/>
      <w:spacing w:lineRule="auto" w:line="360" w:before="0" w:after="160"/>
      <w:jc w:val="left"/>
    </w:pPr>
    <w:rPr>
      <w:rFonts w:ascii="Times New Roman" w:hAnsi="Times New Roman" w:eastAsia="游明朝" w:cs="Times New Roman" w:eastAsiaTheme="minorEastAsia"/>
      <w:color w:val="auto"/>
      <w:kern w:val="0"/>
      <w:sz w:val="24"/>
      <w:szCs w:val="24"/>
      <w:lang w:val="en-US" w:eastAsia="ja-JP" w:bidi="ar-SA"/>
    </w:rPr>
  </w:style>
  <w:style w:type="paragraph" w:styleId="Heading1">
    <w:name w:val="Heading 1"/>
    <w:uiPriority w:val="9"/>
    <w:qFormat/>
    <w:pPr>
      <w:keepNext w:val="true"/>
      <w:keepLines/>
      <w:widowControl/>
      <w:bidi w:val="0"/>
      <w:spacing w:lineRule="auto" w:line="300" w:before="400" w:after="160"/>
      <w:jc w:val="left"/>
      <w:outlineLvl w:val="0"/>
    </w:pPr>
    <w:rPr>
      <w:rFonts w:ascii="Times New Roman" w:hAnsi="Times New Roman" w:eastAsia="游明朝" w:cs="Times New Roman" w:eastAsiaTheme="minorEastAsia"/>
      <w:b/>
      <w:bCs/>
      <w:color w:val="auto"/>
      <w:kern w:val="0"/>
      <w:sz w:val="28"/>
      <w:szCs w:val="28"/>
      <w:lang w:val="en-US" w:eastAsia="ja-JP" w:bidi="ar-SA"/>
    </w:rPr>
  </w:style>
  <w:style w:type="paragraph" w:styleId="Heading2">
    <w:name w:val="Heading 2"/>
    <w:uiPriority w:val="9"/>
    <w:unhideWhenUsed/>
    <w:qFormat/>
    <w:pPr>
      <w:keepNext w:val="true"/>
      <w:keepLines/>
      <w:widowControl/>
      <w:bidi w:val="0"/>
      <w:spacing w:lineRule="auto" w:line="300" w:before="300" w:after="120"/>
      <w:jc w:val="left"/>
      <w:outlineLvl w:val="1"/>
    </w:pPr>
    <w:rPr>
      <w:rFonts w:ascii="Times New Roman" w:hAnsi="Times New Roman" w:eastAsia="游明朝" w:cs="Times New Roman" w:eastAsiaTheme="minorEastAsia"/>
      <w:b/>
      <w:bCs/>
      <w:color w:val="auto"/>
      <w:kern w:val="0"/>
      <w:sz w:val="24"/>
      <w:szCs w:val="24"/>
      <w:lang w:val="en-US" w:eastAsia="ja-JP" w:bidi="ar-SA"/>
    </w:rPr>
  </w:style>
  <w:style w:type="paragraph" w:styleId="Heading3">
    <w:name w:val="Heading 3"/>
    <w:uiPriority w:val="9"/>
    <w:semiHidden/>
    <w:unhideWhenUsed/>
    <w:qFormat/>
    <w:pPr>
      <w:keepNext w:val="true"/>
      <w:keepLines/>
      <w:widowControl/>
      <w:bidi w:val="0"/>
      <w:spacing w:lineRule="auto" w:line="300" w:before="240" w:after="100"/>
      <w:jc w:val="left"/>
      <w:outlineLvl w:val="2"/>
    </w:pPr>
    <w:rPr>
      <w:rFonts w:ascii="Times New Roman" w:hAnsi="Times New Roman" w:eastAsia="游明朝" w:cs="Times New Roman" w:eastAsiaTheme="minorEastAsia"/>
      <w:b/>
      <w:bCs/>
      <w:i/>
      <w:iCs/>
      <w:color w:val="auto"/>
      <w:kern w:val="0"/>
      <w:sz w:val="24"/>
      <w:szCs w:val="24"/>
      <w:lang w:val="en-US" w:eastAsia="ja-JP" w:bidi="ar-SA"/>
    </w:rPr>
  </w:style>
  <w:style w:type="paragraph" w:styleId="Heading4">
    <w:name w:val="Heading 4"/>
    <w:uiPriority w:val="9"/>
    <w:semiHidden/>
    <w:unhideWhenUsed/>
    <w:qFormat/>
    <w:pPr>
      <w:widowControl/>
      <w:bidi w:val="0"/>
      <w:spacing w:lineRule="auto" w:line="360" w:before="0" w:after="160"/>
      <w:jc w:val="left"/>
      <w:outlineLvl w:val="3"/>
    </w:pPr>
    <w:rPr>
      <w:rFonts w:ascii="Times New Roman" w:hAnsi="Times New Roman" w:eastAsia="游明朝" w:cs="Times New Roman"/>
      <w:i/>
      <w:iCs/>
      <w:color w:val="2E74B5"/>
      <w:kern w:val="0"/>
      <w:sz w:val="24"/>
      <w:szCs w:val="24"/>
      <w:lang w:val="en-US" w:eastAsia="ja-JP" w:bidi="ar-SA"/>
    </w:rPr>
  </w:style>
  <w:style w:type="paragraph" w:styleId="Heading5">
    <w:name w:val="Heading 5"/>
    <w:uiPriority w:val="9"/>
    <w:semiHidden/>
    <w:unhideWhenUsed/>
    <w:qFormat/>
    <w:pPr>
      <w:widowControl/>
      <w:bidi w:val="0"/>
      <w:spacing w:lineRule="auto" w:line="360" w:before="0" w:after="160"/>
      <w:jc w:val="left"/>
      <w:outlineLvl w:val="4"/>
    </w:pPr>
    <w:rPr>
      <w:rFonts w:ascii="Times New Roman" w:hAnsi="Times New Roman" w:eastAsia="游明朝" w:cs="Times New Roman"/>
      <w:color w:val="2E74B5"/>
      <w:kern w:val="0"/>
      <w:sz w:val="24"/>
      <w:szCs w:val="24"/>
      <w:lang w:val="en-US" w:eastAsia="ja-JP" w:bidi="ar-SA"/>
    </w:rPr>
  </w:style>
  <w:style w:type="paragraph" w:styleId="Heading6">
    <w:name w:val="Heading 6"/>
    <w:uiPriority w:val="9"/>
    <w:semiHidden/>
    <w:unhideWhenUsed/>
    <w:qFormat/>
    <w:pPr>
      <w:widowControl/>
      <w:bidi w:val="0"/>
      <w:spacing w:lineRule="auto" w:line="360" w:before="0" w:after="160"/>
      <w:jc w:val="left"/>
      <w:outlineLvl w:val="5"/>
    </w:pPr>
    <w:rPr>
      <w:rFonts w:ascii="Times New Roman" w:hAnsi="Times New Roman" w:eastAsia="游明朝" w:cs="Times New Roman"/>
      <w:color w:val="1F4D78"/>
      <w:kern w:val="0"/>
      <w:sz w:val="24"/>
      <w:szCs w:val="24"/>
      <w:lang w:val="en-US" w:eastAsia="ja-JP" w:bidi="ar-SA"/>
    </w:rPr>
  </w:style>
  <w:style w:type="character" w:styleId="DefaultParagraphFont" w:default="1">
    <w:name w:val="Default Paragraph Font"/>
    <w:uiPriority w:val="1"/>
    <w:semiHidden/>
    <w:unhideWhenUsed/>
    <w:qFormat/>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Style8" w:customStyle="1">
    <w:name w:val="脚注文字列 (文字)"/>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Style9" w:customStyle="1">
    <w:name w:val="文末脚注文字列 (文字)"/>
    <w:link w:val="EndnoteText"/>
    <w:uiPriority w:val="99"/>
    <w:semiHidden/>
    <w:unhideWhenUsed/>
    <w:qFormat/>
    <w:rPr>
      <w:sz w:val="20"/>
      <w:szCs w:val="20"/>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uiPriority w:val="10"/>
    <w:qFormat/>
    <w:pPr>
      <w:widowControl/>
      <w:bidi w:val="0"/>
      <w:spacing w:lineRule="auto" w:line="300" w:before="0" w:after="360"/>
      <w:jc w:val="center"/>
    </w:pPr>
    <w:rPr>
      <w:rFonts w:ascii="Times New Roman" w:hAnsi="Times New Roman" w:eastAsia="游明朝" w:cs="Times New Roman" w:eastAsiaTheme="minorEastAsia"/>
      <w:b/>
      <w:bCs/>
      <w:color w:val="auto"/>
      <w:kern w:val="0"/>
      <w:sz w:val="32"/>
      <w:szCs w:val="32"/>
      <w:lang w:val="en-US" w:eastAsia="ja-JP" w:bidi="ar-SA"/>
    </w:rPr>
  </w:style>
  <w:style w:type="paragraph" w:styleId="1" w:customStyle="1">
    <w:name w:val="強調太字1"/>
    <w:qFormat/>
    <w:pPr>
      <w:widowControl/>
      <w:bidi w:val="0"/>
      <w:spacing w:lineRule="auto" w:line="360" w:before="0" w:after="160"/>
      <w:jc w:val="left"/>
    </w:pPr>
    <w:rPr>
      <w:rFonts w:ascii="Times New Roman" w:hAnsi="Times New Roman" w:eastAsia="游明朝" w:cs="Times New Roman" w:eastAsiaTheme="minorEastAsia"/>
      <w:b/>
      <w:bCs/>
      <w:color w:val="auto"/>
      <w:kern w:val="0"/>
      <w:sz w:val="24"/>
      <w:szCs w:val="24"/>
      <w:lang w:val="en-US" w:eastAsia="ja-JP" w:bidi="ar-SA"/>
    </w:rPr>
  </w:style>
  <w:style w:type="paragraph" w:styleId="ListParagraph">
    <w:name w:val="List Paragraph"/>
    <w:qFormat/>
    <w:pPr>
      <w:widowControl/>
      <w:bidi w:val="0"/>
      <w:spacing w:lineRule="auto" w:line="360" w:before="0" w:after="160"/>
      <w:jc w:val="left"/>
    </w:pPr>
    <w:rPr>
      <w:rFonts w:ascii="Times New Roman" w:hAnsi="Times New Roman" w:eastAsia="游明朝" w:cs="Times New Roman" w:eastAsiaTheme="minorEastAsia"/>
      <w:color w:val="auto"/>
      <w:kern w:val="0"/>
      <w:sz w:val="24"/>
      <w:szCs w:val="24"/>
      <w:lang w:val="en-US" w:eastAsia="ja-JP" w:bidi="ar-SA"/>
    </w:rPr>
  </w:style>
  <w:style w:type="paragraph" w:styleId="FootnoteText">
    <w:name w:val="Footnote Text"/>
    <w:link w:val="Style8"/>
    <w:uiPriority w:val="99"/>
    <w:semiHidden/>
    <w:unhideWhenUsed/>
    <w:pPr>
      <w:widowControl/>
      <w:bidi w:val="0"/>
      <w:spacing w:lineRule="auto" w:line="240" w:before="0" w:after="0"/>
      <w:jc w:val="left"/>
    </w:pPr>
    <w:rPr>
      <w:rFonts w:ascii="Times New Roman" w:hAnsi="Times New Roman" w:eastAsia="游明朝" w:cs="Times New Roman" w:eastAsiaTheme="minorEastAsia"/>
      <w:color w:val="auto"/>
      <w:kern w:val="0"/>
      <w:sz w:val="20"/>
      <w:szCs w:val="20"/>
      <w:lang w:val="en-US" w:eastAsia="ja-JP" w:bidi="ar-SA"/>
    </w:rPr>
  </w:style>
  <w:style w:type="paragraph" w:styleId="EndnoteText">
    <w:name w:val="Endnote Text"/>
    <w:link w:val="Style9"/>
    <w:uiPriority w:val="99"/>
    <w:semiHidden/>
    <w:unhideWhenUsed/>
    <w:pPr>
      <w:widowControl/>
      <w:bidi w:val="0"/>
      <w:spacing w:lineRule="auto" w:line="240" w:before="0" w:after="0"/>
      <w:jc w:val="left"/>
    </w:pPr>
    <w:rPr>
      <w:rFonts w:ascii="Times New Roman" w:hAnsi="Times New Roman" w:eastAsia="游明朝" w:cs="Times New Roman" w:eastAsiaTheme="minorEastAsia"/>
      <w:color w:val="auto"/>
      <w:kern w:val="0"/>
      <w:sz w:val="20"/>
      <w:szCs w:val="20"/>
      <w:lang w:val="en-US" w:eastAsia="ja-JP" w:bidi="ar-SA"/>
    </w:rPr>
  </w:style>
  <w:style w:type="paragraph" w:styleId="HeaderandFooter">
    <w:name w:val="Header and Footer"/>
    <w:basedOn w:val="Normal"/>
    <w:qFormat/>
    <w:pPr/>
    <w:rPr/>
  </w:style>
  <w:style w:type="paragraph" w:styleId="Footer">
    <w:name w:val="Footer"/>
    <w:basedOn w:val="HeaderandFooter"/>
    <w:pPr/>
    <w:rPr/>
  </w:style>
  <w:style w:type="numbering" w:styleId="NoList" w:default="1">
    <w:name w:val="No List"/>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テーマ">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pitchFamily="0" charset="1"/>
        <a:ea typeface=""/>
        <a:cs typeface=""/>
      </a:majorFont>
      <a:minorFont>
        <a:latin typeface="游明朝"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TotalTime>
  <Application>LibreOffice/24.2.7.2$Linux_X86_64 LibreOffice_project/420$Build-2</Application>
  <AppVersion>15.0000</AppVersion>
  <Pages>11</Pages>
  <Words>638</Words>
  <Characters>4553</Characters>
  <CharactersWithSpaces>5121</CharactersWithSpaces>
  <Paragraphs>27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2026-08-31T03:08:00Z</dcterms:created>
  <dc:creator>Un-named</dc:creator>
  <dc:description>Converted from Markdown</dc:description>
  <dc:language>en-US</dc:language>
  <cp:lastModifiedBy/>
  <dcterms:modified xsi:type="dcterms:W3CDTF">2026-08-31T04:50:58Z</dcterms:modified>
  <cp:revision>3</cp:revision>
  <dc:subject/>
  <dc:title>A support-cell-enriched secretome-related program marks aging in the human hippocampus</dc:title>
</cp:coreProperties>
</file>

<file path=docProps/custom.xml><?xml version="1.0" encoding="utf-8"?>
<Properties xmlns="http://schemas.openxmlformats.org/officeDocument/2006/custom-properties" xmlns:vt="http://schemas.openxmlformats.org/officeDocument/2006/docPropsVTypes"/>
</file>