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ГОСУДАРСТВЕННОЕ БЮДЖЕТНОЕ ПРОФЕССИОНАЛЬНОЕ</w:t>
      </w:r>
      <w:r>
        <w:br/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ОБРАЗОВАТЕЛЬНОЕ УЧРЕЖДЕНИЕ НОВОСИБИРСКОЙ ОБЛАСТИ</w:t>
      </w:r>
      <w:r>
        <w:br/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«НОВОСИБИРСКИЙ ПОЛИТЕХНИЧЕСКИЙ КОЛЛЕДЖ»</w:t>
      </w:r>
    </w:p>
    <w:p>
      <w:pPr>
        <w:spacing w:after="4000"/>
        <w:jc w:val="center"/>
      </w:pPr>
      <w:r>
        <w:rPr>
          <w:b/>
          <w:bCs/>
          <w:i w:val="false"/>
          <w:iCs w:val="false"/>
          <w:color w:val="000000"/>
          <w:sz w:val="36"/>
          <w:szCs w:val="36"/>
          <w:rFonts w:ascii="Times New Roman" w:cs="Times New Roman" w:eastAsia="Times New Roman" w:hAnsi="Times New Roman"/>
        </w:rPr>
        <w:t xml:space="preserve">ОТЧЕТ О ВЫПОЛНЕНИИ ДЕМОНСТРАЦИОННОГО</w:t>
      </w:r>
      <w:r>
        <w:br/>
      </w:r>
      <w:r>
        <w:rPr>
          <w:b/>
          <w:bCs/>
          <w:i w:val="false"/>
          <w:iCs w:val="false"/>
          <w:color w:val="000000"/>
          <w:sz w:val="36"/>
          <w:szCs w:val="36"/>
          <w:rFonts w:ascii="Times New Roman" w:cs="Times New Roman" w:eastAsia="Times New Roman" w:hAnsi="Times New Roman"/>
        </w:rPr>
        <w:t xml:space="preserve">ЭКЗАМЕНА</w:t>
      </w:r>
    </w:p>
    <w:p>
      <w:pPr>
        <w:spacing w:after="6000"/>
        <w:jc w:val="right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Обучающийся группы: 222СА</w:t>
      </w:r>
      <w:r>
        <w:br/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Моногаров Максим Александрович</w:t>
      </w:r>
      <w:r>
        <w:br/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Специальность: 09.02.06</w:t>
      </w:r>
      <w:r>
        <w:br/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Сетевое и системное администрирование</w:t>
      </w:r>
    </w:p>
    <w:p>
      <w:pPr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Новосибирск, 2026</w:t>
      </w:r>
    </w:p>
    <w:p>
      <w:pPr>
        <w:pageBreakBefore/>
        <w:spacing w:after="400"/>
        <w:jc w:val="center"/>
      </w:pPr>
      <w:r>
        <w:rPr>
          <w:b/>
          <w:bCs/>
          <w:i w:val="false"/>
          <w:iCs w:val="false"/>
          <w:color w:val="000000"/>
          <w:sz w:val="32"/>
          <w:szCs w:val="32"/>
          <w:rFonts w:ascii="Times New Roman" w:cs="Times New Roman" w:eastAsia="Times New Roman" w:hAnsi="Times New Roman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"1-5"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400"/>
        <w:jc w:val="center"/>
      </w:pPr>
      <w:r>
        <w:rPr>
          <w:b/>
          <w:bCs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МОДУЛЬ 1</w:t>
      </w:r>
    </w:p>
    <w:p>
      <w:pPr>
        <w:pStyle w:val="Heading2"/>
        <w:spacing w:after="2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1.1 Базовая настройка устройств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Таблица 1-Настройка устройств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Устройство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Интерфейс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IP-адрес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Маска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VLAN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Подсеть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Шлюз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ISP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ens19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в сторону провайдера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DHCP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DHCP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DHCP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DHCP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ISP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ens20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в сторону hq-rtr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172.16.1.1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172.16.1.0/28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ISP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ens21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в сторону br-rtr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172.16.2.1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172.16.2.0/28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HQ-RTR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ens19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к стороне ISP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172.16.1.2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172.16.1.0/28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172.16.1.1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HQ-RTR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ens20.100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к стороне hq-srv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192.168.100.1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27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100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192.168.100.0/27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HQ-RTR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ens20.200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в сторону hq-cli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192.168.200.1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27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200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192.168.200.0/27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HQ-RTR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ens20.999 сеть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192.168.99.1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29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999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192.168.99.0/29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HQ-RTR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gre1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172.16.100.2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29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172.16.100.0/29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BR-RTR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ens19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в сторону ISP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172.16.2.2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172.16.2.0/28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172.16.2.1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BR-RTR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ens20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в сторону br-srv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192.168.1.1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192.168.1.0/28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BR-RTR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gre1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172.16.100.1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29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172.16.100.0/29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HQ-SRV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ens19.100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в сторону hq-rtr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192.168.100.2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27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100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192.168.100.0/27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192.168.100.1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HQ-SRV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ens19.999 сеть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192.168.99.2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29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999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192.168.99.0/29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BR-SRV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ens19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в сторону br-rtr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192.168.1.2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192.168.1.0/28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192.168.1.1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HQ-CLI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ens19.200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в сторону hq-rtr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192.168.200.2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27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200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192.168.200.0/27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192.168.200.1</w:t>
            </w:r>
          </w:p>
        </w:tc>
      </w:tr>
    </w:tbl>
    <w:p>
      <w:pPr>
        <w:spacing w:after="400"/>
      </w:pP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1.2. Настройка доступа сети на ISP.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1.3. Создание локальных учетных записей на серверах HQ-SRV и BR-SRV.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1.4. Основные сведения о настройке коммутатора и выбора реализации разделения на VLAN.</w:t>
      </w:r>
    </w:p>
    <w:p>
      <w:pPr>
        <w:spacing w:after="100" w:before="100"/>
        <w:ind w:left="72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VLAN был настроен на одном интерфейсе посредством создания саб-интерфейсов с помощью подсистемы Etenet.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Проверка состояния VLAN]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1-Проверка состояния VLAN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1.5. Ssh доступ на серверах hq-srv и br-srv.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1.6. и 1.7 IP-туннель настройка, динамическая маршрутизация</w:t>
      </w:r>
    </w:p>
    <w:p>
      <w:pPr>
        <w:spacing w:after="100" w:before="100"/>
        <w:ind w:left="72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Для организации межофисного взаимодействия был выбран GRE как простая технология туннелирования, OSPF — как link-state протокол динамической маршрутизации, обеспечивающий обмен маршрутами, a FRR — как его современная реализация в ALT Linux.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Настройка туннеля на hq-rtr]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2-Настройка туннеля на hq-rtr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Настройка туннеля на br-rtr]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3-Настройка туннеля на br-rtr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1.8. Динамическая трансляция адресов.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 iptables!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1.9. Динамическая конфигурация хостов (DHCP)</w:t>
      </w:r>
    </w:p>
    <w:p>
      <w:pPr>
        <w:spacing w:after="100" w:before="100"/>
        <w:ind w:left="72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Был настроен DHCP-сервер на HQ-RTR и выдан ip клиенту HQ-CLI.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Настройка dhcp]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4-Настройка dhcp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Клиент получил адрес по DHCP]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5-Клиент получил адрес по DHCP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1.10. DNS сервер.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 dnsmasq!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1.11. Часовой пояс.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 Asia/Novosibirsk!</w:t>
      </w:r>
    </w:p>
    <w:p>
      <w:pPr>
        <w:pageBreakBefore/>
      </w:pPr>
    </w:p>
    <w:p>
      <w:pPr>
        <w:pStyle w:val="Heading1"/>
        <w:spacing w:after="400"/>
        <w:jc w:val="center"/>
      </w:pPr>
      <w:r>
        <w:rPr>
          <w:b/>
          <w:bCs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МОДУЛЬ 2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2.1 Настройте контроллер домена Samba DC на сервере BR-SRV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2.2 Сконфигурируйте файловое хранилище на сервере HQ-SRV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2.3 Настройте сервер сетевой файловой системы (nfs) на HQ-SRV</w:t>
      </w:r>
    </w:p>
    <w:p>
      <w:pPr>
        <w:spacing w:after="100" w:before="100"/>
        <w:ind w:left="72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Основные параметры сервера nfs: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Параметры сервера nfs]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6-Параметры сервера nfs</w:t>
      </w:r>
    </w:p>
    <w:p>
      <w:pPr>
        <w:spacing w:after="100" w:before="100"/>
        <w:ind w:left="72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Настройка автомонтирования на клиенте через /etc/fstab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Автомонтирование папки]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7-Автомонтирование папки</w:t>
      </w:r>
    </w:p>
    <w:p>
      <w:pPr>
        <w:spacing w:after="100" w:before="100"/>
        <w:ind w:left="72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Монтирование общего сетевого ресурса: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Монтирование общего сетевого ресурса]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8-Монтирование общего сетевого ресурса</w:t>
      </w:r>
    </w:p>
    <w:p>
      <w:pPr>
        <w:spacing w:after="100" w:before="100"/>
        <w:ind w:left="72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Проверка монтирования: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Проверка монтирования]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9-Проверка монтирования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2.4 Настройте службу сетевого времени на базе сервиса chrony на маршрутизаторе ISP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успешно(ntp0.ntp-servers.net)!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2.5 Сконфигурируйте ansible на сервере BR SRV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2.6 Разверните веб-приложение testapp с использованием средств контейнеризации на сервере BR-SRV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2.7 Разверните веб приложение на сервере HQ-SRV</w:t>
      </w:r>
    </w:p>
    <w:p>
      <w:pPr>
        <w:spacing w:after="100" w:before="100"/>
        <w:ind w:left="72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В файле /var/www/html/index.php указаны правильные учётные данные для подключения к БД: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Редактирование файла index.php]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10-Редактирование файла index.php</w:t>
      </w:r>
    </w:p>
    <w:p>
      <w:pPr>
        <w:spacing w:after="100" w:before="100"/>
        <w:ind w:left="72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Созданная база и пользователь в Mariadb: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Информация о базе данных Mariadb]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11-Информация о базе данных Mariadb</w:t>
      </w:r>
    </w:p>
    <w:p>
      <w:pPr>
        <w:spacing w:after="100" w:before="100"/>
        <w:ind w:left="72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Проверка работы веб-приложения на клиенте: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Проверка работы веб-приложения]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12-Проверка работы веб-приложения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2.8. На маршрутизаторах сконфигурируйте статическую трансляцию портов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 iptables!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2.9. Настройте веб-сервер nginx как обратный прокси-сервер на ISP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2.10 На маршрутизаторе ISP настройте web-based аутентификацию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Задание выполнено успешно!</w:t>
      </w:r>
    </w:p>
    <w:p>
      <w:pPr>
        <w:pStyle w:val="Heading2"/>
        <w:spacing w:after="100" w:before="10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2.11 Удобным способом установите приложение Яндекс Браузер на HQ-CLI</w:t>
      </w:r>
    </w:p>
    <w:p>
      <w:pPr>
        <w:spacing w:after="100" w:before="100"/>
        <w:ind w:left="72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Был установлен Яндекс-браузер.</w:t>
      </w:r>
    </w:p>
    <w:p>
      <w:pPr>
        <w:spacing w:after="100" w:before="100"/>
        <w:jc w:val="center"/>
      </w:pPr>
      <w:r>
        <w:rPr>
          <w:b w:val="false"/>
          <w:bCs w:val="false"/>
          <w:i/>
          <w:iCs/>
          <w:color w:val="999999"/>
          <w:sz w:val="28"/>
          <w:szCs w:val="28"/>
          <w:rFonts w:ascii="Times New Roman" w:cs="Times New Roman" w:eastAsia="Times New Roman" w:hAnsi="Times New Roman"/>
        </w:rPr>
        <w:t xml:space="preserve">[Скриншот не загружен: Запуск Яндекс-браузера]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Times New Roman" w:cs="Times New Roman" w:eastAsia="Times New Roman" w:hAnsi="Times New Roman"/>
        </w:rPr>
        <w:t xml:space="preserve">Рисунок 13-Запуск Яндекс-браузера</w:t>
      </w:r>
    </w:p>
    <w:p>
      <w:pPr>
        <w:spacing w:after="6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Главный эксперт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__________________________ (Подпись)</w:t>
            </w:r>
          </w:p>
        </w:tc>
      </w:tr>
      <w:tr>
        <w:tc>
          <w:p>
            <w:r>
              <w:br/>
            </w:r>
            <w:r>
              <w:rPr>
                <w:b/>
                <w:bCs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Эксперт</w:t>
            </w:r>
          </w:p>
        </w:tc>
        <w:tc>
          <w:p>
            <w:pPr>
              <w:jc w:val="right"/>
            </w:pPr>
            <w:r>
              <w:br/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__________________________ (Подпись)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2026-06-12T17:38:27.478Z</dcterms:created>
  <dcterms:modified xsi:type="dcterms:W3CDTF">2026-06-12T17:38:27.478Z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