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8C32366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МИНИСТЕРСТВО ОБРАЗОВАНИЯ НОВОСИБИРСКОЙ ОБЛАСТИ</w:t>
      </w:r>
      <w:r/>
    </w:p>
    <w:p w14:paraId="4466444D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ГОСУДАРСТВЕННОЕ БЮДЖЕТНОЕ ПРОФЕССИОНАЛЬНОЕ</w:t>
      </w:r>
      <w:r/>
    </w:p>
    <w:p w14:paraId="4D2D3A21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ОБРАЗОВАТЕЛЬНОЕ УЧРЕЖДЕНИЕ НОВОСИБИРСКОЙ ОБЛАСТИ</w:t>
      </w:r>
      <w:r/>
    </w:p>
    <w:p w14:paraId="2FA53B26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«НОВОСИБИРСКИЙ ПОЛИТЕХНИЧЕСКИЙ КОЛЛЕДЖ»</w:t>
      </w:r>
      <w:r/>
    </w:p>
    <w:p w14:paraId="247BDC18" w14:textId="77777777">
      <w:pPr>
        <w:pStyle w:val="1067"/>
        <w:pBdr/>
        <w:spacing w:after="300" w:before="0" w:line="360" w:lineRule="auto"/>
        <w:ind/>
        <w:jc w:val="center"/>
        <w:rPr/>
      </w:pPr>
      <w:r>
        <w:rPr>
          <w:rFonts w:eastAsia="Times New Roman" w:cs="Times New Roman"/>
          <w:b w:val="0"/>
          <w:bCs w:val="0"/>
          <w:sz w:val="24"/>
          <w:szCs w:val="24"/>
        </w:rPr>
        <w:t xml:space="preserve">(ГБПОУ НСО «Новосибирский политехнический колледж»)</w:t>
      </w:r>
      <w:r/>
    </w:p>
    <w:p w14:paraId="3B2C86F9" w14:textId="77777777">
      <w:pPr>
        <w:pStyle w:val="1067"/>
        <w:pBdr/>
        <w:spacing w:line="240" w:lineRule="auto"/>
        <w:ind/>
        <w:jc w:val="right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ДОПУСКАЮ К ЗАЩИТЕ</w:t>
      </w:r>
      <w:r/>
    </w:p>
    <w:p w14:paraId="5EA109F6" w14:textId="77777777">
      <w:pPr>
        <w:pStyle w:val="1067"/>
        <w:pBdr/>
        <w:spacing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Заместитель директора по УМР</w:t>
      </w:r>
      <w:r/>
    </w:p>
    <w:p w14:paraId="6EE4F02D" w14:textId="77777777">
      <w:pPr>
        <w:pStyle w:val="1067"/>
        <w:pBdr/>
        <w:spacing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____________ А.В. Васильева</w:t>
      </w:r>
      <w:r/>
    </w:p>
    <w:p w14:paraId="4322A392" w14:textId="77777777">
      <w:pPr>
        <w:pStyle w:val="1067"/>
        <w:pBdr/>
        <w:spacing w:after="600" w:before="0"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«____» _____________ 202__ г.</w:t>
      </w:r>
      <w:r/>
    </w:p>
    <w:p w14:paraId="3691DA74" w14:textId="77777777">
      <w:pPr>
        <w:pStyle w:val="1067"/>
        <w:pBdr/>
        <w:spacing w:after="18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36"/>
          <w:szCs w:val="36"/>
        </w:rPr>
        <w:t xml:space="preserve">ДИПЛОМНАЯ РАБОТА</w:t>
      </w:r>
      <w:r/>
    </w:p>
    <w:p w14:paraId="4B11F409" w14:textId="77777777">
      <w:pPr>
        <w:pStyle w:val="1067"/>
        <w:pBdr/>
        <w:spacing w:after="120" w:before="0" w:line="360" w:lineRule="auto"/>
        <w:ind/>
        <w:jc w:val="center"/>
        <w:rPr/>
      </w:pPr>
      <w:r>
        <w:rPr>
          <w:rFonts w:eastAsia="Times New Roman" w:cs="Times New Roman"/>
          <w:b w:val="0"/>
          <w:bCs w:val="0"/>
          <w:sz w:val="28"/>
          <w:szCs w:val="28"/>
        </w:rPr>
        <w:t xml:space="preserve">на тему:</w:t>
      </w:r>
      <w:r/>
    </w:p>
    <w:p w14:paraId="74A3608F" w14:textId="77777777">
      <w:pPr>
        <w:pStyle w:val="1067"/>
        <w:pBdr/>
        <w:spacing w:after="60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 xml:space="preserve">«Мониторинг локально-вычислительной сети»</w:t>
      </w:r>
      <w:r/>
    </w:p>
    <w:p w14:paraId="58A09C74" w14:textId="77777777">
      <w:pPr>
        <w:pStyle w:val="1067"/>
        <w:pBdr/>
        <w:tabs>
          <w:tab w:val="clear" w:leader="none" w:pos="720"/>
          <w:tab w:val="right" w:leader="none" w:pos="9000"/>
        </w:tabs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Выполнил студент группы 222СА</w:t>
      </w:r>
      <w:r>
        <w:tab/>
      </w:r>
      <w:r>
        <w:rPr>
          <w:rFonts w:eastAsia="Times New Roman" w:cs="Times New Roman"/>
          <w:sz w:val="28"/>
          <w:szCs w:val="28"/>
        </w:rPr>
        <w:t xml:space="preserve"> ____________ ____________________</w:t>
      </w:r>
      <w:r/>
    </w:p>
    <w:p w14:paraId="4E511A6F" w14:textId="77777777">
      <w:pPr>
        <w:pStyle w:val="1067"/>
        <w:pBdr/>
        <w:spacing w:after="18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                                                       </w:t>
      </w:r>
      <w:r>
        <w:rPr>
          <w:rFonts w:eastAsia="Times New Roman" w:cs="Times New Roman"/>
          <w:i/>
          <w:iCs/>
          <w:sz w:val="20"/>
          <w:szCs w:val="20"/>
        </w:rPr>
        <w:t xml:space="preserve">(подпись, дата)              (Ф.И.О.)</w:t>
      </w:r>
      <w:r/>
    </w:p>
    <w:p w14:paraId="7123D671" w14:textId="77777777">
      <w:pPr>
        <w:pStyle w:val="1067"/>
        <w:pBdr/>
        <w:spacing w:after="18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Специальность: 09.02.06 «Сетевое и системное администрирование»</w:t>
      </w:r>
      <w:r/>
    </w:p>
    <w:p w14:paraId="78BD9F83" w14:textId="77777777">
      <w:pPr>
        <w:pStyle w:val="1067"/>
        <w:pBdr/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Руководитель дипломного проекта: Егорова А.А. ____________</w:t>
      </w:r>
      <w:r/>
    </w:p>
    <w:p w14:paraId="24D5EDD6" w14:textId="77777777">
      <w:pPr>
        <w:pStyle w:val="1067"/>
        <w:pBdr/>
        <w:spacing w:after="30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                                                                                 </w:t>
      </w:r>
      <w:r>
        <w:rPr>
          <w:rFonts w:eastAsia="Times New Roman" w:cs="Times New Roman"/>
          <w:i/>
          <w:iCs/>
          <w:sz w:val="20"/>
          <w:szCs w:val="20"/>
        </w:rPr>
        <w:t xml:space="preserve">(подпись, дата)</w:t>
      </w:r>
      <w:r/>
    </w:p>
    <w:p w14:paraId="1C7A51BE" w14:textId="77777777">
      <w:pPr>
        <w:pStyle w:val="1067"/>
        <w:pBdr/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Работа защищена: «____» _____________ 20___ г.</w:t>
      </w:r>
      <w:r/>
    </w:p>
    <w:p w14:paraId="0C0AF82D" w14:textId="77777777">
      <w:pPr>
        <w:pStyle w:val="1067"/>
        <w:pBdr/>
        <w:spacing w:after="60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с оценкой: ___________________________</w:t>
      </w:r>
      <w:r/>
    </w:p>
    <w:p w14:paraId="527A1B93" w14:textId="77777777">
      <w:pPr>
        <w:pStyle w:val="1067"/>
        <w:pBdr/>
        <w:spacing w:after="0" w:before="0" w:line="360" w:lineRule="auto"/>
        <w:ind/>
        <w:jc w:val="center"/>
        <w:rPr/>
        <w:sectPr>
          <w:headerReference w:type="default" r:id="rId10"/>
          <w:headerReference w:type="even" r:id="rId11"/>
          <w:headerReference w:type="first" r:id="rId12"/>
          <w:footerReference w:type="default" r:id="rId15"/>
          <w:footerReference w:type="even" r:id="rId16"/>
          <w:footerReference w:type="first" r:id="rId17"/>
          <w:footnotePr/>
          <w:endnotePr/>
          <w:type w:val="nextPage"/>
          <w:pgSz w:h="16838" w:orient="portrait" w:w="11906"/>
          <w:pgMar w:top="1134" w:right="850" w:bottom="1134" w:left="1701" w:header="708" w:footer="708" w:gutter="0"/>
          <w:cols w:num="1" w:sep="0" w:space="1701" w:equalWidth="1"/>
          <w:titlePg/>
        </w:sectPr>
      </w:pPr>
      <w:r>
        <w:rPr>
          <w:rFonts w:eastAsia="Times New Roman" w:cs="Times New Roman"/>
          <w:b w:val="0"/>
          <w:bCs w:val="0"/>
          <w:sz w:val="28"/>
          <w:szCs w:val="28"/>
        </w:rPr>
        <w:t xml:space="preserve">Новосибирск 2026</w:t>
      </w:r>
      <w:r>
        <w:br w:type="page" w:clear="all"/>
      </w:r>
      <w:r/>
    </w:p>
    <w:p w14:paraId="672A6659" w14:textId="77777777">
      <w:pPr>
        <w:pStyle w:val="1068"/>
        <w:pBdr/>
        <w:spacing w:after="0" w:afterAutospacing="0" w:before="0" w:beforeAutospacing="0" w:line="360" w:lineRule="auto"/>
        <w:ind/>
        <w:jc w:val="center"/>
        <w:rPr/>
      </w:pPr>
      <w:r/>
      <w:r/>
    </w:p>
    <w:p w14:paraId="1D6E551A">
      <w:pPr>
        <w:pStyle w:val="1067"/>
        <w:pBdr/>
        <w:spacing w:after="0" w:before="0" w:line="240" w:lineRule="auto"/>
        <w:ind/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МИНИСТЕРСТВО ОБРАЗОВАНИЯ НОВОСИБИРСКОЙ ОБЛАСТИ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3054A998">
      <w:pPr>
        <w:pStyle w:val="1067"/>
        <w:pBdr/>
        <w:spacing w:after="0" w:before="0" w:line="240" w:lineRule="auto"/>
        <w:ind/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ГОСУДАРСТВЕННОЕ БЮДЖЕТНОЕ ПРОФЕССИОНАЛЬНОЕ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53CAE7FD">
      <w:pPr>
        <w:pStyle w:val="1067"/>
        <w:pBdr/>
        <w:spacing w:after="0" w:before="0" w:line="240" w:lineRule="auto"/>
        <w:ind/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ОБРАЗОВАТЕЛЬНОЕ УЧРЕЖДЕНИЕ НОВОСИБИРСКОЙ ОБЛАСТИ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7B56DF31">
      <w:pPr>
        <w:pStyle w:val="1067"/>
        <w:pBdr/>
        <w:spacing w:after="0" w:before="0" w:line="240" w:lineRule="auto"/>
        <w:ind/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«НОВОСИБИРСКИЙ ПОЛИТЕХНИЧЕСКИЙ КОЛЛЕДЖ»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234AB517">
      <w:pPr>
        <w:pStyle w:val="1067"/>
        <w:pBdr/>
        <w:spacing w:after="0" w:before="0" w:line="240" w:lineRule="auto"/>
        <w:ind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(ГБПОУ НСО «Новосибирский политехнический колледж»)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tbl>
      <w:tblPr>
        <w:jc w:val="center"/>
        <w:tblInd w:w="0" w:type="dxa"/>
        <w:tblW w:w="9071" w:type="dxa"/>
        <w:tblCellMar>
          <w:left w:w="70" w:type="dxa"/>
          <w:top w:w="70" w:type="dxa"/>
          <w:right w:w="7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875"/>
        <w:gridCol w:w="4195"/>
      </w:tblGrid>
      <w:tr>
        <w:trPr/>
        <w:tc>
          <w:tcPr>
            <w:tcBorders/>
            <w:tcW w:w="4875" w:type="dxa"/>
          </w:tcPr>
          <w:p w14:paraId="439B9AE4">
            <w:pPr>
              <w:pStyle w:val="1067"/>
              <w:pBdr/>
              <w:spacing w:after="0" w:before="0" w:line="240" w:lineRule="auto"/>
              <w:ind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</w:r>
            <w:r>
              <w:rPr>
                <w:sz w:val="28"/>
                <w:szCs w:val="28"/>
                <w:lang w:val="ru-RU"/>
              </w:rPr>
            </w:r>
            <w:r>
              <w:rPr>
                <w:sz w:val="28"/>
                <w:szCs w:val="28"/>
                <w:lang w:val="ru-RU"/>
              </w:rPr>
            </w:r>
          </w:p>
        </w:tc>
        <w:tc>
          <w:tcPr>
            <w:tcBorders/>
            <w:tcW w:w="4195" w:type="dxa"/>
          </w:tcPr>
          <w:p w14:paraId="4D711469">
            <w:pPr>
              <w:pStyle w:val="1067"/>
              <w:pBdr/>
              <w:spacing w:after="0" w:before="0" w:line="240" w:lineRule="auto"/>
              <w:ind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УТВЕРЖДАЮ</w:t>
            </w:r>
            <w:r>
              <w:rPr>
                <w:sz w:val="28"/>
                <w:szCs w:val="28"/>
                <w:lang w:val="ru-RU"/>
              </w:rPr>
            </w:r>
            <w:r>
              <w:rPr>
                <w:sz w:val="28"/>
                <w:szCs w:val="28"/>
                <w:lang w:val="ru-RU"/>
              </w:rPr>
            </w:r>
          </w:p>
          <w:p w14:paraId="297008BC">
            <w:pPr>
              <w:pStyle w:val="1067"/>
              <w:pBdr/>
              <w:spacing w:after="0" w:before="0" w:line="240" w:lineRule="auto"/>
              <w:ind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Заместитель</w:t>
            </w:r>
            <w:r>
              <w:rPr>
                <w:sz w:val="28"/>
                <w:szCs w:val="28"/>
                <w:lang w:val="ru-RU"/>
              </w:rPr>
            </w:r>
            <w:r>
              <w:rPr>
                <w:sz w:val="28"/>
                <w:szCs w:val="28"/>
                <w:lang w:val="ru-RU"/>
              </w:rPr>
            </w:r>
          </w:p>
          <w:p w14:paraId="7B844D3F">
            <w:pPr>
              <w:pStyle w:val="1067"/>
              <w:pBdr/>
              <w:spacing w:after="0" w:before="0" w:line="240" w:lineRule="auto"/>
              <w:ind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директора по УМР</w:t>
            </w:r>
            <w:r>
              <w:rPr>
                <w:sz w:val="28"/>
                <w:szCs w:val="28"/>
                <w:lang w:val="ru-RU"/>
              </w:rPr>
            </w:r>
            <w:r>
              <w:rPr>
                <w:sz w:val="28"/>
                <w:szCs w:val="28"/>
                <w:lang w:val="ru-RU"/>
              </w:rPr>
            </w:r>
          </w:p>
          <w:p w14:paraId="39713FD7">
            <w:pPr>
              <w:pStyle w:val="1067"/>
              <w:pBdr/>
              <w:spacing w:after="0" w:before="0" w:line="240" w:lineRule="auto"/>
              <w:ind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____________ А.В. Васильева</w:t>
              <w:br/>
              <w:t xml:space="preserve">«___» __________ 2026г.</w:t>
            </w:r>
            <w:r>
              <w:rPr>
                <w:sz w:val="28"/>
                <w:szCs w:val="28"/>
                <w:lang w:val="ru-RU"/>
              </w:rPr>
            </w:r>
            <w:r>
              <w:rPr>
                <w:sz w:val="28"/>
                <w:szCs w:val="28"/>
                <w:lang w:val="ru-RU"/>
              </w:rPr>
            </w:r>
          </w:p>
        </w:tc>
      </w:tr>
    </w:tbl>
    <w:p w14:paraId="1306E3A3">
      <w:pPr>
        <w:pStyle w:val="1067"/>
        <w:pBdr/>
        <w:spacing w:after="80" w:before="0" w:line="240" w:lineRule="auto"/>
        <w:ind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5B6164E2">
      <w:pPr>
        <w:pStyle w:val="1067"/>
        <w:pBdr/>
        <w:spacing w:after="0" w:before="0" w:line="240" w:lineRule="auto"/>
        <w:ind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ЗАДАНИЕ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67254B5E">
      <w:pPr>
        <w:pStyle w:val="1067"/>
        <w:pBdr/>
        <w:spacing w:after="440" w:before="0" w:line="240" w:lineRule="auto"/>
        <w:ind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на выполнение дипломной работы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78F07489">
      <w:pPr>
        <w:pStyle w:val="1067"/>
        <w:pBdr/>
        <w:spacing w:after="0" w:before="0" w:line="240" w:lineRule="auto"/>
        <w:ind w:left="794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Студенту </w:t>
      </w:r>
      <w:r>
        <w:rPr>
          <w:color w:val="000000"/>
          <w:sz w:val="28"/>
          <w:szCs w:val="28"/>
          <w:lang w:val="ru-RU"/>
        </w:rPr>
        <w:t xml:space="preserve">Моногарову Максиму Александровичу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35E45354">
      <w:pPr>
        <w:pStyle w:val="1067"/>
        <w:pBdr/>
        <w:spacing w:after="0" w:before="0" w:line="240" w:lineRule="auto"/>
        <w:ind w:left="794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Группы 222 СА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378A33F5">
      <w:pPr>
        <w:pStyle w:val="1067"/>
        <w:pBdr/>
        <w:spacing w:after="0" w:before="0" w:line="240" w:lineRule="auto"/>
        <w:ind w:left="794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Специальность 09.02.06 Сетевое и системное администрирование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7D5798FE">
      <w:pPr>
        <w:pStyle w:val="1067"/>
        <w:pBdr/>
        <w:spacing w:after="0" w:before="0" w:line="240" w:lineRule="auto"/>
        <w:ind w:left="794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Тема дипломной работы: </w:t>
      </w:r>
      <w:r>
        <w:rPr>
          <w:sz w:val="28"/>
          <w:szCs w:val="28"/>
          <w:lang w:val="en-US"/>
        </w:rPr>
        <w:t xml:space="preserve">Система мониторинга локально-вычислительной системы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42B5E810">
      <w:pPr>
        <w:pStyle w:val="1067"/>
        <w:pBdr/>
        <w:spacing w:after="60" w:before="0" w:line="240" w:lineRule="auto"/>
        <w:ind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5DA0C6C4">
      <w:pPr>
        <w:pStyle w:val="1067"/>
        <w:pBdr/>
        <w:spacing w:after="120" w:before="0" w:line="240" w:lineRule="auto"/>
        <w:ind w:left="794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Содержание дипломной работы (перечень подлежащих разработке вопросов):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32F06C5B">
      <w:pPr>
        <w:pStyle w:val="1092"/>
        <w:numPr>
          <w:ilvl w:val="0"/>
          <w:numId w:val="4"/>
        </w:numPr>
        <w:pBdr/>
        <w:spacing w:after="0" w:before="0" w:line="240" w:lineRule="auto"/>
        <w:ind w:firstLine="0" w:left="794"/>
        <w:contextualSpacing w:val="true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Обзор известных методов решения поставленных задач.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2866FA8E">
      <w:pPr>
        <w:pStyle w:val="1092"/>
        <w:numPr>
          <w:ilvl w:val="0"/>
          <w:numId w:val="4"/>
        </w:numPr>
        <w:pBdr/>
        <w:spacing w:after="0" w:before="0" w:line="240" w:lineRule="auto"/>
        <w:ind w:firstLine="0" w:left="794"/>
        <w:contextualSpacing w:val="true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Описание методов решения поставленной задачи.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31844356">
      <w:pPr>
        <w:pStyle w:val="1092"/>
        <w:numPr>
          <w:ilvl w:val="0"/>
          <w:numId w:val="4"/>
        </w:numPr>
        <w:pBdr/>
        <w:spacing w:after="0" w:before="0" w:line="240" w:lineRule="auto"/>
        <w:ind w:firstLine="0" w:left="794"/>
        <w:contextualSpacing w:val="true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Выбор аппаратной части.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3FF54B4C">
      <w:pPr>
        <w:pStyle w:val="1092"/>
        <w:numPr>
          <w:ilvl w:val="0"/>
          <w:numId w:val="4"/>
        </w:numPr>
        <w:pBdr/>
        <w:spacing w:after="0" w:before="0" w:line="240" w:lineRule="auto"/>
        <w:ind w:firstLine="0" w:left="794"/>
        <w:contextualSpacing w:val="true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Практическая реализация проекта.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47DF8B93">
      <w:pPr>
        <w:pStyle w:val="1092"/>
        <w:numPr>
          <w:ilvl w:val="0"/>
          <w:numId w:val="4"/>
        </w:numPr>
        <w:pBdr/>
        <w:spacing w:after="0" w:before="0" w:line="240" w:lineRule="auto"/>
        <w:ind w:firstLine="0" w:left="794"/>
        <w:contextualSpacing w:val="true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Меры информационной безопасности.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2C27C9A8">
      <w:pPr>
        <w:pStyle w:val="1092"/>
        <w:numPr>
          <w:ilvl w:val="0"/>
          <w:numId w:val="4"/>
        </w:numPr>
        <w:pBdr/>
        <w:spacing w:after="0" w:before="0" w:line="240" w:lineRule="auto"/>
        <w:ind w:firstLine="0" w:left="794"/>
        <w:contextualSpacing w:val="true"/>
        <w:rPr>
          <w:sz w:val="28"/>
          <w:szCs w:val="28"/>
        </w:rPr>
      </w:pPr>
      <w:r>
        <w:rPr>
          <w:sz w:val="28"/>
          <w:szCs w:val="28"/>
        </w:rPr>
        <w:t xml:space="preserve">Расчет стоимости проекта.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1BCC01">
      <w:pPr>
        <w:pStyle w:val="1067"/>
        <w:pBdr/>
        <w:spacing/>
        <w:ind/>
        <w:rPr/>
      </w:pPr>
      <w:r/>
      <w:r>
        <w:br w:type="page" w:clear="all"/>
      </w:r>
      <w:r/>
      <w:r/>
    </w:p>
    <w:p w14:paraId="6B80D259">
      <w:pPr>
        <w:pStyle w:val="1067"/>
        <w:pBdr/>
        <w:spacing w:after="200" w:before="0" w:line="240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Календарный план</w:t>
      </w: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jc w:val="center"/>
        <w:tblInd w:w="0" w:type="dxa"/>
        <w:tblW w:w="9525" w:type="dxa"/>
        <w:tblCellMar>
          <w:left w:w="70" w:type="dxa"/>
          <w:top w:w="70" w:type="dxa"/>
          <w:right w:w="7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563"/>
        <w:gridCol w:w="5568"/>
        <w:gridCol w:w="1689"/>
        <w:gridCol w:w="1704"/>
      </w:tblGrid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  <w:vAlign w:val="center"/>
          </w:tcPr>
          <w:p w14:paraId="1CD62DE6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№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780514C1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п/п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  <w:vAlign w:val="center"/>
          </w:tcPr>
          <w:p w14:paraId="39D46794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 этапов выполнения работы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  <w:vAlign w:val="center"/>
          </w:tcPr>
          <w:p w14:paraId="275535FB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Срок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7FB50B77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Выполнения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787A0DE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Этапов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65151FC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работы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  <w:vAlign w:val="center"/>
          </w:tcPr>
          <w:p w14:paraId="5BE84746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Отметка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6E2ECCF6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Руководителя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30AD646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B623091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выполнении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721FC5CF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2F660BF6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Сбор информации, ее изучение,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499177B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обработка, анализ и обобщение.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2B5D852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Составление плана дипломной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1C3C4E34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работы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3FA7E885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20.04.2026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678AF4DA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4C52EBD6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647E47BD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Написание и передача на проверку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7D53A3DF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Руководителю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8873243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теоретической части дипломной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7B13B37D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работы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34D60983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24.04.2026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6B56DCE3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6D4D7AE5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4398AE8D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Написание и передача на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0DD0AF4C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проверку руководителю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72D14879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практической части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27D53CB1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дипломной работы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5289B1C2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27.04.2026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17B7FB7B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69D02E2E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57DB506B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Доработка дипломной работы с учётом замечаний руководителя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25FC99D8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30.04.2026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438509F8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63533256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2C8C01DF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Завершение,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5BF415AE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окончательное оформление дипломной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2EA71BB3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работы и представление руководителю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6CD2C495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04.05.2026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2F7A6790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6B133F8D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6A484DB8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Написание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A8B741B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текстовой части доклада для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6B71CF77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защиты дипломной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7E49345F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работы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3D9CBC10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07.05.2026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0A5A3EC1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2B6F8050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7009E567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Подбор и оформление иллюстративного</w:t>
              <w:br/>
              <w:t xml:space="preserve">материала для защиты (чертежи,</w:t>
              <w:br/>
              <w:t xml:space="preserve">схемы, таблицы, электронная презентация)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797DE8DC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12.05.2026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66F08F44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98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63" w:type="dxa"/>
          </w:tcPr>
          <w:p w14:paraId="326AD7CD">
            <w:pPr>
              <w:pStyle w:val="1067"/>
              <w:pBdr/>
              <w:spacing w:after="0" w:before="0" w:line="240" w:lineRule="atLeast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8" w:type="dxa"/>
          </w:tcPr>
          <w:p w14:paraId="4AD8527D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Представление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7A40F76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дипломной работы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A71E08E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 рецензирование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7D9B3BE0">
            <w:pPr>
              <w:pStyle w:val="1067"/>
              <w:pBdr/>
              <w:spacing w:after="0" w:before="0" w:line="240" w:lineRule="atLeast"/>
              <w:ind w:firstLine="7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 xml:space="preserve">(при наличии) и получение допуска к защите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689" w:type="dxa"/>
          </w:tcPr>
          <w:p w14:paraId="582FF3F1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15.05.2026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704" w:type="dxa"/>
          </w:tcPr>
          <w:p w14:paraId="6CBB48F0">
            <w:pPr>
              <w:pStyle w:val="1067"/>
              <w:pBdr/>
              <w:spacing w:after="0" w:before="0" w:line="240" w:lineRule="atLeast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0AF69155">
      <w:pPr>
        <w:pStyle w:val="1067"/>
        <w:pBdr/>
        <w:spacing w:line="240" w:lineRule="auto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D7A01B">
      <w:pPr>
        <w:pStyle w:val="1067"/>
        <w:pBdr/>
        <w:spacing w:after="0" w:before="0" w:line="240" w:lineRule="auto"/>
        <w:ind w:left="397"/>
        <w:rPr>
          <w:sz w:val="28"/>
          <w:szCs w:val="28"/>
        </w:rPr>
      </w:pPr>
      <w:r>
        <w:rPr>
          <w:sz w:val="28"/>
          <w:szCs w:val="28"/>
        </w:rPr>
        <w:t xml:space="preserve">Дата выдачи задания «___» __________ 2026г.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894D353">
      <w:pPr>
        <w:pStyle w:val="1067"/>
        <w:pBdr/>
        <w:spacing w:after="0" w:before="0" w:line="240" w:lineRule="auto"/>
        <w:ind w:left="397"/>
        <w:rPr>
          <w:sz w:val="28"/>
          <w:szCs w:val="28"/>
        </w:rPr>
      </w:pPr>
      <w:r>
        <w:rPr>
          <w:sz w:val="28"/>
          <w:szCs w:val="28"/>
        </w:rPr>
        <w:t xml:space="preserve">Срок окончания «___» __________ 2026г.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25E46">
      <w:pPr>
        <w:pStyle w:val="1067"/>
        <w:pBdr/>
        <w:spacing w:after="0" w:before="0" w:line="240" w:lineRule="auto"/>
        <w:ind w:left="397"/>
        <w:rPr>
          <w:sz w:val="28"/>
          <w:szCs w:val="28"/>
        </w:rPr>
      </w:pPr>
      <w:r>
        <w:rPr>
          <w:sz w:val="28"/>
          <w:szCs w:val="28"/>
        </w:rPr>
        <w:t xml:space="preserve">Рассмотрено на заседании ПЦК ИТиСА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520131B">
      <w:pPr>
        <w:pStyle w:val="1067"/>
        <w:pBdr/>
        <w:spacing w:after="0" w:before="0" w:line="240" w:lineRule="auto"/>
        <w:ind w:left="397"/>
        <w:rPr>
          <w:sz w:val="28"/>
          <w:szCs w:val="28"/>
        </w:rPr>
      </w:pPr>
      <w:r>
        <w:rPr>
          <w:sz w:val="28"/>
          <w:szCs w:val="28"/>
        </w:rPr>
        <w:t xml:space="preserve">Протокол № ___ от «___» __________ 2026 г.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01C9C0A">
      <w:pPr>
        <w:pStyle w:val="1067"/>
        <w:pBdr/>
        <w:spacing w:after="0" w:before="0" w:line="240" w:lineRule="auto"/>
        <w:ind w:left="397"/>
        <w:rPr>
          <w:sz w:val="28"/>
          <w:szCs w:val="28"/>
        </w:rPr>
      </w:pPr>
      <w:r>
        <w:rPr>
          <w:sz w:val="28"/>
          <w:szCs w:val="28"/>
        </w:rPr>
        <w:t xml:space="preserve">Председатель ПЦК ____________________ А.К. Тарыма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103850">
      <w:pPr>
        <w:pStyle w:val="1067"/>
        <w:pBdr/>
        <w:spacing w:after="0" w:before="0" w:line="240" w:lineRule="auto"/>
        <w:ind w:left="39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Руководитель дипломной работы ____________________ А.А. Егорова.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6AD06E0F">
      <w:pPr>
        <w:pStyle w:val="1067"/>
        <w:pBdr/>
        <w:spacing w:after="0" w:before="0" w:line="240" w:lineRule="auto"/>
        <w:ind w:left="39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Задание принял к исполнению _______________ (_________________)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  <w:r/>
      <w:r>
        <w:br w:type="page" w:clear="all"/>
      </w:r>
      <w:r/>
      <w:r/>
      <w:r/>
      <w:r>
        <w:rPr>
          <w:sz w:val="28"/>
          <w:szCs w:val="28"/>
          <w:lang w:val="ru-RU"/>
        </w:rPr>
      </w:r>
    </w:p>
    <w:p w14:paraId="1567C83A">
      <w:pPr>
        <w:pStyle w:val="1068"/>
        <w:pBdr/>
        <w:spacing w:after="0" w:afterAutospacing="0" w:before="0" w:beforeAutospacing="0" w:line="360" w:lineRule="auto"/>
        <w:ind/>
        <w:jc w:val="center"/>
        <w:rPr/>
      </w:pPr>
      <w:r/>
      <w:r/>
      <w:r/>
    </w:p>
    <w:p w14:paraId="5BA24CAF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38" w:name="_Toc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Содержание</w:t>
      </w:r>
      <w:bookmarkEnd w:id="3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sdtPr>
      <w:sdtContent>
        <w:p w14:paraId="72E02BE4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rFonts w:eastAsia="Times New Roman" w:cs="Times New Roman"/>
              <w:color w:val="auto"/>
              <w:sz w:val="28"/>
              <w:szCs w:val="28"/>
              <w:lang w:val="ru-RU" w:bidi="ru-RU"/>
            </w:rPr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TOC \o "1-3" \t "Heading 1,1,Heading 2,2,Heading 3,3" </w:instrText>
          </w:r>
          <w:r>
            <w:rPr>
              <w:b w:val="0"/>
              <w:bCs w:val="0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Содержание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 \h</w:instrText>
            <w:fldChar w:fldCharType="separate"/>
          </w:r>
          <w:r>
            <w:rPr>
              <w:b w:val="0"/>
              <w:bCs w:val="0"/>
            </w:rPr>
            <w:t xml:space="preserve">4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A4E9DCD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ВВЕДЕНИЕ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 \h</w:instrText>
            <w:fldChar w:fldCharType="separate"/>
          </w:r>
          <w:r>
            <w:rPr>
              <w:b w:val="0"/>
              <w:bCs w:val="0"/>
            </w:rPr>
            <w:t xml:space="preserve">6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6690CDD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Общее понятие цели и задачи дипломной работы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 \h</w:instrText>
            <w:fldChar w:fldCharType="separate"/>
          </w:r>
          <w:r>
            <w:rPr>
              <w:b w:val="0"/>
              <w:bCs w:val="0"/>
            </w:rPr>
            <w:t xml:space="preserve">6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177101A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Предмет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_Toc4 \h</w:instrText>
            <w:fldChar w:fldCharType="separate"/>
          </w:r>
          <w:r>
            <w:rPr>
              <w:b w:val="0"/>
              <w:bCs w:val="0"/>
            </w:rPr>
            <w:t xml:space="preserve">7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19467ED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Объект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_Toc5 \h</w:instrText>
            <w:fldChar w:fldCharType="separate"/>
          </w:r>
          <w:r>
            <w:rPr>
              <w:b w:val="0"/>
              <w:bCs w:val="0"/>
            </w:rPr>
            <w:t xml:space="preserve">7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789526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Задачи работы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_Toc6 \h</w:instrText>
            <w:fldChar w:fldCharType="separate"/>
          </w:r>
          <w:r>
            <w:rPr>
              <w:b w:val="0"/>
              <w:bCs w:val="0"/>
            </w:rPr>
            <w:t xml:space="preserve">7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0750FAC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Методы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_Toc7 \h</w:instrText>
            <w:fldChar w:fldCharType="separate"/>
          </w:r>
          <w:r>
            <w:rPr>
              <w:b w:val="0"/>
              <w:bCs w:val="0"/>
            </w:rPr>
            <w:t xml:space="preserve">8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A8A133A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Практическая значимость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_Toc8 \h</w:instrText>
            <w:fldChar w:fldCharType="separate"/>
          </w:r>
          <w:r>
            <w:rPr>
              <w:b w:val="0"/>
              <w:bCs w:val="0"/>
            </w:rPr>
            <w:t xml:space="preserve">8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DD8FE4E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1. ТЕОРЕТИЧЕСКИЕ ОСНОВЫ ОРГАНИЗАЦИИ И МОНИТОРИНГА ЛОКАЛЬНОЙ 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_Toc9 \h</w:instrText>
            <w:fldChar w:fldCharType="separate"/>
          </w:r>
          <w:r>
            <w:rPr>
              <w:b w:val="0"/>
              <w:bCs w:val="0"/>
            </w:rPr>
            <w:t xml:space="preserve">9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BFFF219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 Архитектура локальной 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_Toc10 \h</w:instrText>
            <w:fldChar w:fldCharType="separate"/>
          </w:r>
          <w:r>
            <w:rPr>
              <w:b w:val="0"/>
              <w:bCs w:val="0"/>
            </w:rPr>
            <w:t xml:space="preserve">10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DF6C6F7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1.1.1 Физические компоненты л</w:t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  <w:t xml:space="preserve">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_Toc11 \h</w:instrText>
            <w:fldChar w:fldCharType="separate"/>
          </w:r>
          <w:r>
            <w:rPr>
              <w:b w:val="0"/>
              <w:bCs w:val="0"/>
            </w:rPr>
            <w:t xml:space="preserve">10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1B9B741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1.1.2 Логические компоненты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_Toc12 \h</w:instrText>
            <w:fldChar w:fldCharType="separate"/>
          </w:r>
          <w:r>
            <w:rPr>
              <w:b w:val="0"/>
              <w:bCs w:val="0"/>
            </w:rPr>
            <w:t xml:space="preserve">11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4BC71A3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1.2 Методы передачи данных в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_Toc13 \h</w:instrText>
            <w:fldChar w:fldCharType="separate"/>
          </w:r>
          <w:r>
            <w:rPr>
              <w:b w:val="0"/>
              <w:bCs w:val="0"/>
            </w:rPr>
            <w:t xml:space="preserve">13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F22227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1.3 Программное обеспечение серверной инфраструктуры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_Toc14 \h</w:instrText>
            <w:fldChar w:fldCharType="separate"/>
          </w:r>
          <w:r>
            <w:rPr>
              <w:b w:val="0"/>
              <w:bCs w:val="0"/>
            </w:rPr>
            <w:t xml:space="preserve">13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92B0AD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1.4 Программное обеспечение рабочих станций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_Toc15 \h</w:instrText>
            <w:fldChar w:fldCharType="separate"/>
          </w:r>
          <w:r>
            <w:rPr>
              <w:b w:val="0"/>
              <w:bCs w:val="0"/>
            </w:rPr>
            <w:t xml:space="preserve">15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784EE2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1.5 Понятие и назначение системы мониторинга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_Toc16 \h</w:instrText>
            <w:fldChar w:fldCharType="separate"/>
          </w:r>
          <w:r>
            <w:rPr>
              <w:b w:val="0"/>
              <w:bCs w:val="0"/>
            </w:rPr>
            <w:t xml:space="preserve">16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3C993A97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2. АНАЛИЗ СУЩЕСТВУЮЩИХ РЕШЕНИЙ ДЛЯ МОНИТОРИНГА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_Toc17 \h</w:instrText>
            <w:fldChar w:fldCharType="separate"/>
          </w:r>
          <w:r>
            <w:rPr>
              <w:b w:val="0"/>
              <w:bCs w:val="0"/>
            </w:rPr>
            <w:t xml:space="preserve">18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7FC1339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 Обзор современных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_Toc18 \h</w:instrText>
            <w:fldChar w:fldCharType="separate"/>
          </w:r>
          <w:r>
            <w:rPr>
              <w:b w:val="0"/>
              <w:bCs w:val="0"/>
            </w:rPr>
            <w:t xml:space="preserve">18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2224952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2.1.1 Свободно распространяемые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_Toc19 \h</w:instrText>
            <w:fldChar w:fldCharType="separate"/>
          </w:r>
          <w:r>
            <w:rPr>
              <w:b w:val="0"/>
              <w:bCs w:val="0"/>
            </w:rPr>
            <w:t xml:space="preserve">18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A33C5FF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2.1.2 Проприетарные корпоративные решения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_Toc20 \h</w:instrText>
            <w:fldChar w:fldCharType="separate"/>
          </w:r>
          <w:r>
            <w:rPr>
              <w:b w:val="0"/>
              <w:bCs w:val="0"/>
            </w:rPr>
            <w:t xml:space="preserve">20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CBC7D3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2.1.3 Облачные решения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_Toc21 \h</w:instrText>
            <w:fldChar w:fldCharType="separate"/>
          </w:r>
          <w:r>
            <w:rPr>
              <w:b w:val="0"/>
              <w:bCs w:val="0"/>
            </w:rPr>
            <w:t xml:space="preserve">21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4DC9B1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2.2 Критерии оценки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_Toc22 \h</w:instrText>
            <w:fldChar w:fldCharType="separate"/>
          </w:r>
          <w:r>
            <w:rPr>
              <w:b w:val="0"/>
              <w:bCs w:val="0"/>
            </w:rPr>
            <w:t xml:space="preserve">22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5857361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2.3 Сравнительный анализ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_Toc23 \h</w:instrText>
            <w:fldChar w:fldCharType="separate"/>
          </w:r>
          <w:r>
            <w:rPr>
              <w:b w:val="0"/>
              <w:bCs w:val="0"/>
            </w:rPr>
            <w:t xml:space="preserve">24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3B716C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2.4 Обоснование выбора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_Toc24 \h</w:instrText>
            <w:fldChar w:fldCharType="separate"/>
          </w:r>
          <w:r>
            <w:rPr>
              <w:b w:val="0"/>
              <w:bCs w:val="0"/>
            </w:rPr>
            <w:t xml:space="preserve">28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BC170F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3. ПРАКТИЧЕСКАЯ РЕАЛИЗАЦИЯ СИСТЕМЫ МОНИТОРИНГА НА БАЗЕ ZABBIX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_Toc25 \h</w:instrText>
            <w:fldChar w:fldCharType="separate"/>
          </w:r>
          <w:r>
            <w:rPr>
              <w:b w:val="0"/>
              <w:bCs w:val="0"/>
            </w:rPr>
            <w:t xml:space="preserve">30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0A7CC6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3.1 Описание используемой инфраструктуры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_Toc26 \h</w:instrText>
            <w:fldChar w:fldCharType="separate"/>
          </w:r>
          <w:r>
            <w:rPr>
              <w:b w:val="0"/>
              <w:bCs w:val="0"/>
            </w:rPr>
            <w:t xml:space="preserve">30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C8E789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3.2 Устанока серверной операционной системы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_Toc27 \h</w:instrText>
            <w:fldChar w:fldCharType="separate"/>
          </w:r>
          <w:r>
            <w:rPr>
              <w:b w:val="0"/>
              <w:bCs w:val="0"/>
            </w:rPr>
            <w:t xml:space="preserve">31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03B5058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3.3 Настройка и запуск сервера Zabbix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_Toc28 \h</w:instrText>
            <w:fldChar w:fldCharType="separate"/>
          </w:r>
          <w:r>
            <w:rPr>
              <w:b w:val="0"/>
              <w:bCs w:val="0"/>
            </w:rPr>
            <w:t xml:space="preserve">32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57951736">
          <w:pPr>
            <w:pStyle w:val="1103"/>
            <w:pageBreakBefore w:val="true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3.4 Установка и настройка агента Zabbix на контролируемых узлах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_Toc29 \h</w:instrText>
            <w:fldChar w:fldCharType="separate"/>
          </w:r>
          <w:r>
            <w:rPr>
              <w:b w:val="0"/>
              <w:bCs w:val="0"/>
            </w:rPr>
            <w:t xml:space="preserve">36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562864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3.5 Настройка мониторинга сетевого оборудования по SNMP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_Toc30 \h</w:instrText>
            <w:fldChar w:fldCharType="separate"/>
          </w:r>
          <w:r>
            <w:rPr>
              <w:b w:val="0"/>
              <w:bCs w:val="0"/>
            </w:rPr>
            <w:t xml:space="preserve">37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5582ACF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3.6 Настройка триггеров и оповещений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_Toc31 \h</w:instrText>
            <w:fldChar w:fldCharType="separate"/>
          </w:r>
          <w:r>
            <w:rPr>
              <w:b w:val="0"/>
              <w:bCs w:val="0"/>
            </w:rPr>
            <w:t xml:space="preserve">40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1B7A9456">
          <w:pPr>
            <w:pStyle w:val="1103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3.7 Проверка работоспособности системы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_Toc32 \h</w:instrText>
            <w:fldChar w:fldCharType="separate"/>
          </w:r>
          <w:r>
            <w:rPr>
              <w:b w:val="0"/>
              <w:bCs w:val="0"/>
            </w:rPr>
            <w:t xml:space="preserve">44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670E290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4. ЭКОНОМИЧЕСКОЕ ОБОСНОВАНИЕ ПРОЕКТА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_Toc33 \h</w:instrText>
            <w:fldChar w:fldCharType="separate"/>
          </w:r>
          <w:r>
            <w:rPr>
              <w:b w:val="0"/>
              <w:bCs w:val="0"/>
            </w:rPr>
            <w:t xml:space="preserve">49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20F627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4.1 Состав затрат на внедрение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_Toc34 \h</w:instrText>
            <w:fldChar w:fldCharType="separate"/>
          </w:r>
          <w:r>
            <w:rPr>
              <w:b w:val="0"/>
              <w:bCs w:val="0"/>
            </w:rPr>
            <w:t xml:space="preserve">49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6C12CC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4.2 Расчёт стоимости внедрения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_Toc35 \h</w:instrText>
            <w:fldChar w:fldCharType="separate"/>
          </w:r>
          <w:r>
            <w:rPr>
              <w:b w:val="0"/>
              <w:bCs w:val="0"/>
            </w:rPr>
            <w:t xml:space="preserve">50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7DA4606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4.4 Оценка экономической эффективности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_Toc36 \h</w:instrText>
            <w:fldChar w:fldCharType="separate"/>
          </w:r>
          <w:r>
            <w:rPr>
              <w:b w:val="0"/>
              <w:bCs w:val="0"/>
            </w:rPr>
            <w:t xml:space="preserve">51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00DAE82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ЗАКЛЮЧЕНИЕ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_Toc37 \h</w:instrText>
            <w:fldChar w:fldCharType="separate"/>
          </w:r>
          <w:r>
            <w:rPr>
              <w:b w:val="0"/>
              <w:bCs w:val="0"/>
            </w:rPr>
            <w:t xml:space="preserve">53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0D684D">
          <w:pPr>
            <w:pStyle w:val="1102"/>
            <w:keepLines w:val="false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СПИСОК ИСПОЛЬЗОВАННЫХ ИСТОЧНИКОВ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_Toc38 \h</w:instrText>
            <w:fldChar w:fldCharType="separate"/>
          </w:r>
          <w:r>
            <w:rPr>
              <w:b w:val="0"/>
              <w:bCs w:val="0"/>
            </w:rPr>
            <w:t xml:space="preserve">55</w:t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2378546">
          <w:pPr>
            <w:pBdr/>
            <w:spacing/>
            <w:ind/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pP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r>
          <w:r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r>
        </w:p>
      </w:sdtContent>
    </w:sdt>
    <w:p w14:paraId="645A14DF">
      <w:pPr>
        <w:pStyle w:val="1067"/>
        <w:widowControl w:val="true"/>
        <w:pBdr/>
        <w:bidi w:val="false"/>
        <w:spacing w:after="0" w:before="0"/>
        <w:ind/>
        <w:jc w:val="left"/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pP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</w:p>
    <w:p w14:paraId="72F8407C">
      <w:pPr>
        <w:pStyle w:val="1067"/>
        <w:widowControl w:val="true"/>
        <w:pBdr/>
        <w:bidi w:val="false"/>
        <w:spacing w:after="0" w:before="0"/>
        <w:ind/>
        <w:jc w:val="left"/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pP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br w:type="page" w:clear="all"/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</w:p>
    <w:p w14:paraId="6A1BCE6E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39" w:name="_Toc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ВВЕДЕНИЕ</w:t>
      </w:r>
      <w:bookmarkEnd w:id="3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CD72A4A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Современные локальные вычислительные сети (далее — ЛВС) являются основой функционирования бол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ьшинства организаций и предприятий, обеспечивая обмен данными между сотрудниками, работу информационных систем, доступ к корпоративным ресурсам и бесперебойное функционирование бизнес-сервисов. С каждым годом объёмы передаваемых данных растут, количество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етевого оборудования увеличивается, а сама инфраструктура становится всё более сложной и распределённой. В этих условиях возрастает потребность в эффективных средствах контроля состояния сетевых компонентов и своевременного выявления возникающих неполадок.</w:t>
      </w:r>
      <w:r>
        <w:rPr>
          <w:color w:val="auto"/>
        </w:rPr>
      </w:r>
      <w:r>
        <w:rPr>
          <w:color w:val="auto"/>
        </w:rPr>
      </w:r>
    </w:p>
    <w:p w14:paraId="4174DC9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Одним из ключевых инструментов обеспечения стабильности работы ЛВС является система мо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ниторинга. Подобные системы позволяют отслеживать работоспособность серверов, активного сетевого оборудования, рабочих станций, сетевых сервисов и приложений в режиме реального времени, формировать уведомления о сбоях, анализировать производительность инфр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аструктуры и предотвращать возникновение критических инцидентов. Благодаря системе мониторинга администратор получает целостное представление о состоянии IT-инфраструктуры предприятия и может оперативно реагировать на любые отклонения от нормальной работы.</w:t>
      </w:r>
      <w:r>
        <w:rPr>
          <w:color w:val="auto"/>
        </w:rPr>
      </w:r>
      <w:r>
        <w:rPr>
          <w:color w:val="auto"/>
        </w:rPr>
      </w:r>
    </w:p>
    <w:p w14:paraId="02376867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Актуальность темы дипломного проекта обусловлена тем, что современные предприятия зависят от стабильной работы IT-инфраструктуры. Простой даже од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ного сетевого узла может привести к остановке рабочих процессов, финансовым потерям и снижению лояльности клиентов. По этой причине вопрос выбора и грамотного внедрения системы мониторинга, отвечающей задачам конкретной организации, является крайне важным.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1BB8E21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0" w:name="_Toc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Общее понятие цели и задачи дипломной работы</w:t>
      </w:r>
      <w:bookmarkEnd w:id="4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8FE6B91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дипломной работы является 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зучение и сравнительный анализ современных систем мониторинга локальной вычислительной сети, а также практическое внедрение выбранной системы мониторинга на тестовый стенд для подтверждения её работоспособности и оценки экономической эффективности проекта.</w:t>
      </w:r>
      <w:r/>
    </w:p>
    <w:p w14:paraId="2783AB42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1" w:name="_Toc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Предмет исследования</w:t>
      </w:r>
      <w:bookmarkEnd w:id="4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0F886F2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Предметом исследования являются программные средства мониторинга ЛВС, а также методы и протоколы (SNMP, ICMP, агентные технологии), используемые для контроля состояния сетевых устройств, серверов и сервисов.</w:t>
      </w:r>
      <w:r/>
    </w:p>
    <w:p w14:paraId="4D551BF8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2" w:name="_Toc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Объект исследования</w:t>
      </w:r>
      <w:bookmarkEnd w:id="4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05E4F48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Объектом исследования является локальная вычислительная сеть и комплекс программно-аппаратных средств мониторинга, включающий сервер мониторинга, агентов сбора данных, базу данных хранения метрик и контролируемые сетевые устройства.</w:t>
      </w:r>
      <w:r/>
    </w:p>
    <w:p w14:paraId="5235DFC2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3" w:name="_Toc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Задачи работы</w:t>
      </w:r>
      <w:bookmarkEnd w:id="4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3B0AF09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достижения поставленной цели в дипломном проекте необходимо решить следующие задачи: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91A5E2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изучить научную литературу, учебные материалы и интернет-источники, посвящённые мониторингу сетей и принципам работы систем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DD99D50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проанализировать архитектуру локальной вычислительной сети, её физические и логические компоненты, программное обеспечение серверной и клиентской частей;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F89647E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рассмотреть существующие на рынке решения по мониторингу ЛВС, как свободно распространяемые, так и проприетарные;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465C727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подобрать критерии для объективной оценки систем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48C9F9A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провести сравнительный анализ систем мониторинга по выбранным критериям и обосновать выбор оптимальной системы для практической реализации;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766263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развернуть и настроить выбранную систему мониторинга на тестовой инфраструктуре, подключить контролируемые узлы и продемонстрировать работоспособность системы;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5630FD2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рассчитать экономическую составляющую внедрения системы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2373E4B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bookmarkStart w:id="44" w:name="_Toc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Методы исследования</w:t>
      </w:r>
      <w:bookmarkEnd w:id="44"/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262E5AB6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ходе выполнения дипломного проекта применялись следующие методы: анализ литературы и официальной до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кументации производителей систем мониторинга; сравнительный анализ программных решений по заданным критериям; метод эксперимента — практическая установка и настройка системы мониторинга на тестовом стенде; обобщение и систематизация полученных результатов.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0537210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5" w:name="_Toc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Практическая значимость</w:t>
      </w:r>
      <w:bookmarkEnd w:id="4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2004F31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Практическая значимость работы состоит в том, что результаты сравнительного анализа и пошаговая методика развёртывания системы мониторинга мо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гут быть использованы системными администраторами малых и средних предприятий при выборе и внедрении средств контроля IT-инфраструктуры. Подготовленные в рамках дипломного проекта конфигурации и шаблоны могут служить готовым решением для аналогичных задач.</w:t>
      </w:r>
      <w:r>
        <w:rPr>
          <w:rFonts w:eastAsia="Times New Roman" w:cs="Times New Roman"/>
          <w:b/>
          <w:bCs/>
          <w:color w:val="auto"/>
          <w:sz w:val="28"/>
          <w:szCs w:val="28"/>
        </w:rPr>
      </w:r>
      <w:r>
        <w:rPr>
          <w:rFonts w:eastAsia="Times New Roman" w:cs="Times New Roman"/>
          <w:b/>
          <w:bCs/>
          <w:color w:val="auto"/>
          <w:sz w:val="28"/>
          <w:szCs w:val="28"/>
        </w:rPr>
      </w:r>
    </w:p>
    <w:p w14:paraId="41C8F396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br w:type="page" w:clear="all"/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2A3D3EC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AAB0BD4" w14:textId="77777777">
      <w:pPr>
        <w:pStyle w:val="1068"/>
        <w:pageBreakBefore w:val="false"/>
        <w:suppressLineNumbers w:val="false"/>
        <w:pBdr/>
        <w:spacing w:after="0" w:afterAutospacing="0" w:before="0" w:beforeAutospacing="0" w:line="360" w:lineRule="auto"/>
        <w:ind w:firstLine="0"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46" w:name="_Toc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1. ТЕОРЕТИЧЕСКИЕ ОСНОВЫ ОРГАНИЗАЦИИ И МОНИТОРИНГА ЛОКАЛЬНОЙ ВЫЧИСЛИТЕЛЬНОЙ СЕТИ</w:t>
      </w:r>
      <w:bookmarkEnd w:id="4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CE4B492">
      <w:pPr>
        <w:pStyle w:val="1068"/>
        <w:pageBreakBefore w:val="false"/>
        <w:suppressLineNumbers w:val="false"/>
        <w:pBdr/>
        <w:spacing w:after="0" w:afterAutospacing="0" w:before="0" w:beforeAutospacing="0" w:line="360" w:lineRule="auto"/>
        <w:ind w:firstLine="0"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DB2EEE7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Локальная вычислительная сеть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(ЛВС) представляет собой совокупность взаимосвязанных вычислительных устройств, расположенных в пределах ограниченной географической территории — отдельного помещения, здания или группы соседних зданий — и объединённых общей средой передачи данных. Типичн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ые примеры ЛВС: офисная сеть предприятия, сеть учебного заведения, сеть жилого дома или квартиры. Главная отличительная черта ЛВС от глобальных сетей — небольшие расстояния между узлами, высокая скорость обмена данными и единое административное управление.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91BC4D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Основной целью функционирования ЛВС является обеспечение совместного использования информационных и аппаратных ресурсов: серверов, сетевых принтеров, систем хранени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я данных, корпоративных приложений и сервисов. Параллельно с этим ЛВС решает задачи централизованного управления учётными записями пользователей, обеспечения информационной безопасности, разграничения прав доступа к данным и распределения сетевой нагрузки.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8B508CF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составе любой ЛВС принято выделять три основные группы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элементов: оконечное оборудование (рабочие станции, серверы, принтеры и иные устройства), активное сетевое оборудование (коммутаторы, маршрутизаторы, точки беспроводного доступа, межсетевые экраны), а также пассивное оборудование и кабельную инфраструктур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у (кабели витой пары и оптоволокно, патч-панели, розетки, кроссы и кабельные каналы). Совокупность перечисленных элементов формирует физическую инфраструктуру сети, а правила их взаимодействия задаются на логическом уровне через сетевые протоколы и службы.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5D364D02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66D6F054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highlight w:val="none"/>
        </w:rPr>
      </w:r>
      <w:bookmarkStart w:id="47" w:name="_Toc1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  <w:t xml:space="preserve">1.1 Архитектура локальной вычислительной сети</w:t>
      </w:r>
      <w:bookmarkEnd w:id="4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1F68044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6AE8E43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Архитектура ЛВС описывает способ организации сетевых компонентов и определяет правила их взаимодействия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Под архитектурой понимается совокупность аппаратных, программных и логических решений, обеспечивающих функционирование сети в целом. Все элементы архитектуры можно условно разделить на две большие категории: физические компоненты и логические компоненты.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43E1DFE3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567C41FA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pPr>
      <w:r/>
      <w:bookmarkStart w:id="48" w:name="_Toc1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1.1.1 Физические компоненты л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окально-вычислительной сети</w:t>
      </w:r>
      <w:bookmarkEnd w:id="48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</w:p>
    <w:p w14:paraId="15E21359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r>
    </w:p>
    <w:p w14:paraId="7FA2F4F5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 физическим компонентам относятся материальные объекты, образующие техническую основу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5DFA7CB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Оконечные устройства пользователей. Рабочие станции — это персональные компьютеры, ноутбуки, 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онкие клиенты и моноблоки, на которых пользователи выполняют свои производственные задачи. Подключение оконечного оборудования к сети осуществляется проводным способом по технологии Ethernet или беспроводным — через стандарты семейства IEEE 802.11 (Wi-Fi).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10711F8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Серверы. Серверы выполняют в ЛВС роль централизованных поставщиков сервисов: хранят файлы и базы данных, обслуживают веб-при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ложения и почтовые системы, реализуют функции контроллеров домена и центров аутентификации, обеспечивают резервное копирование и контроль доступа. Сервер может быть выделенным физическим устройством, виртуальной машиной либо контейнером в составе кластера.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18A629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Активное сетевое оборудование. Коммутаторы (Switch) обеспечивают передачу кадров на канальном уровне модели OSI на ос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нове MAC-адресов, формируя эффективную внутреннюю топологию сегмента сети. Маршрутизаторы (Router) работают на сетевом уровне и обеспечивают подключение ЛВС к внешним сетям, включая Интернет, а также маршрутизацию пакетов между различными подсетями. Точки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беспроводного доступа (Access Point) обеспечивают подключение мобильных устройств к проводной инфраструктуре по протоколам Wi-Fi. К активному оборудованию также относятся межсетевые экраны и устройства класса UTM, выполняющие функции защиты периметра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3154E54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хранения данных. Сетевые системы хранения данных используются для централизованного хранения файлов, образов виртуальных машин, резервных копий и иной критичной информации. Различают два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основных класса таких систем: NAS (Network Attached Storage) — хранилища, работающие на файловом уровне по протоколам SMB/CIFS и NFS, и SAN (Storage Area Network) — выделенные сети хранения на блочном уровне, использующие протоколы Fibre Channel или iSCSI.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0AF2EBE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Кабельная система. Для построения проводной части ЛВС применяются следую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щие типы кабелей: витая пара различных категорий (Cat 5e, Cat 6, Cat 6a, Cat 7) — наиболее распространённый вариант для подключения рабочих станций к коммутаторам уровня доступа; оптоволоконный кабель (одномодовый и многомодовый) — применяется на магистрал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ьных участках и при необходимости передачи данных на большие расстояния, а также при высоких требованиях к пропускной способности. Дополнительными элементами кабельной системы являются патч-панели, розетки RJ-45, кроссы, монтажные шкафы и кабельные каналы.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2337E73D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4F7D01C3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pPr>
      <w:r/>
      <w:bookmarkStart w:id="49" w:name="_Toc1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1.1.2 Логические компоненты локально-вычислительной сети</w:t>
      </w:r>
      <w:bookmarkEnd w:id="49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</w:p>
    <w:p w14:paraId="5FDF4D6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r>
    </w:p>
    <w:p w14:paraId="0D3FD097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Логические компоненты определяют правила и алгоритмы обмена данными между физическими устройствами. К ним относятся системы адресации, сетевые протоколы, технологии сегментации и средства информационной безопасности.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1027433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IP-адресация. Каждое устройство в ЛВС идентифицируется уникальным IP-адресом. В большинстве сетей используются адреса протокола IPv4 из частных диапазонов 10.0.0.0/8, 172.16.0.0/12 и 192.168.0.0/16. Назна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чение адресов может выполняться вручную (статическая адресация) либо автоматически через службу DHCP. Современные сети также активно внедряют протокол IPv6, обеспечивающий значительно больший адресный пул и улучшенные механизмы автоматической конфигурации.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0095A29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Протоколы передачи данных. Канальный уровень в ЛВС реализуется преимущественно протоколом Ethernet (стандарт IEEE 802.3) для проводных соединений и протоколами семейства 802.11 для беспроводных. 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сетевом и транспортном уровнях работают протоколы стека TCP/IP — IP, ICMP, TCP, UDP. Прикладной уровень представлен протоколами HTTP/HTTPS, FTP, SMB, NFS, SMTP, IMAP, POP3, DNS, SNMP и другими, обеспечивающими работу пользовательских и системных сервисов.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E0E9323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Сегментация сети и VLAN. В крупных ЛВС применяется логическое разделение единой физической сети на несколько изолированных сегментов с помощью технологии VLAN (Virtual Local Area Network, стандарт IEEE 802.1Q).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егментация преследует несколько целей: уменьшение размера широковещательного домена, повышение производительности и безопасности, упрощение администрирования. Маршрутизация трафика между VLAN осуществляется на коммутаторах уровня L3 или на маршрутизаторах.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252EBB1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Сетевая топология. Под топологией понимается логическая или физическая схема соединения устройств в сети. Базовые топологии — «звезда», «кольцо», «шина» и «дерево». В современных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ЛВС практически повсеместно используется иерархическая многоуровневая топология «звезда» (или её модификации), при которой оконечные устройства подключаются к коммутаторам уровня доступа, те — к коммутаторам уровня агрегации, а агрегационные — к ядру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249DA7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iCs w:val="0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Информационная безопасность. Логический контур безопасности ЛВС включает механизмы аутентификации (802.1X, RADIUS, Kerberos), разграничения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доступа (списки ACL на маршрутизаторах и коммутаторах, ролевая модель доступа в операционных системах), фильтрации трафика (межсетевые экраны), обнаружения и предотвращения вторжений (IDS/IPS), шифрования трафика (IPsec, TLS) и контроля целостности данных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iCs w:val="0"/>
          <w:highlight w:val="none"/>
        </w:rPr>
      </w:r>
    </w:p>
    <w:p w14:paraId="131069A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highlight w:val="none"/>
        </w:rPr>
      </w:r>
      <w:r>
        <w:rPr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2C09F3BB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0" w:name="_Toc1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1.2 Методы передачи данных в локально-вычислительной сети</w:t>
      </w:r>
      <w:bookmarkEnd w:id="5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2FF7EA5E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76F0BA98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 точки зрения физической среды передачи данных современные ЛВС подразделяются на проводные, беспроводные и комбинированные.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ED9E317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Проводные сети на базе технологии Ethernet остаются наиболее распространённым решением благодаря высокой скорости передачи данных (от 1 Гбит/с в типовых офисных сетях до 100 Гбит/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 в магистральных сегментах дата-центров), стабильности работы, защищённости от внешних радиопомех и относительной простоте обслуживания. Подключение организуется по витой паре или оптоволокну в зависимости от расстояния и требуемой пропускной способности.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16A799C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Беспроводные сети Wi-Fi обеспечивают мобильность пользователей и упрощают подключение устройств, для которых проводная инфраструктура неудобна или невозможна. Современные стандарты — Wi-Fi 5 (802.11ac) и Wi-Fi 6 / 6E (802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.11ax) — поддерживают скорости передачи данных до нескольких гигабит в секунду и улучшенные механизмы работы в условиях высокой плотности клиентов. Беспроводная сеть как правило используется как дополнение к проводной инфраструктуре, образуя гибридную ЛВС.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4004FF5F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25283FBB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1" w:name="_Toc1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1.3 Программное обеспечение серверной инфраструктуры</w:t>
      </w:r>
      <w:bookmarkEnd w:id="5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3E3CFDD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248ADFD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Серверное программное обеспечение — это специализированные программные продукты, устанавливаемые на выделенные серверные платформы для предоставления сетевых служб и централизованного управления ресурсами ЛВС.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EBACA62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Серверные операционные системы. Среди отечественных операционны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х систем широко применяются Альт Сервер (разработка ООО «Базальт СПО»), Astra Linux Special Edition, РЕД ОС, ROSA Enterprise Linux Server. Серверная ОС обеспечивает стабильность работы, безопасность, поддержку специализированных серверных ролей и сервисов.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6F95A50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Службы каталогов и аутентификации. В сетях, построенных на платформе Microsoft, центральную роль играет служба Acti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ve Directory, обеспечивающая централизованное управление учётными записями пользователей, компьютеров, групп безопасности и применение групповых политик (GPO). В Linux-средах аналогичные задачи решают OpenLDAP, FreeIPA, Samba 4 в режиме контроллера домена.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1B03B03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виртуализации. Современные предприятия активно используют виртуализацию для повышения утилизации серверного об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орудования. Наиболее популярные платформы — VMware vSphere/ESXi, Microsoft Hyper-V, Proxmox VE, KVM/QEMU. Виртуализация позволяет запускать на одном физическом сервере несколько изолированных виртуальных машин со своими операционными системами и сервисами.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A1C291E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Файловые и почтовые серверы. Файловые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ерверы предоставляют общие сетевые папки по протоколам NFS (Linux) или SMB/CIFS (Microsoft). Почтовая инфраструктура реализуется через связки на основе свободного программного обеспечения — Postfix совместно с Dovecot, iRedMail, Zimbra Collaboration Suite.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D567002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резервного копирования. Для обеспечения сохранности данных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применяются специализированные программные комплексы: Veeam Backup &amp; Replication, Acronis Cyber Protect, Bacula, BorgBackup, restic. Они автоматизируют процессы создания резервных копий, верификации и восстановления данных по заранее заданному расписанию.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76EFB8D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еры баз данных. Корпоративные приложения опираются на промышленные СУБД: Oracle Database, PostgreSQL, MySQL/MariaDB, Microsoft SQL Server. СУБД обеспечивают хранение и обработку структурированных данных, поддержку транзакций и многопользовательский доступ.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B0E0790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Веб-серверы. Для размещения корпоративных порталов, внутренних сайтов и веб-приложений используются веб-серверы Apache HTTP Server, Nginx, Microsoft Internet Information Services (IIS), а также серверы приложений Tomcat, JBoss, Node.js.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7D7FC8F4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212E20DE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2" w:name="_Toc1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1.4 Программное обеспечение рабочих станций</w:t>
      </w:r>
      <w:bookmarkEnd w:id="5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29464D66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6493FD9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Клиентское программное обеспечение устанавливается на рабочие станции пользователей и обеспечивает выполнение повседневных производственных задач.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45A7AE1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Клиентские операционные системы. Linux — Альт Рабочая станция, Astra Linux Common Edition, РЕД ОС аcrosoft Windows 10 и Windows 11 (редакции Pro, Ent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erprise). Клиентская ОС должна быть совместима с серверной инфраструктурой по используемым протоколам аутентификации, файлового обмена и печати.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8E496BE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Офисные пакеты. Для работы с документами используются проприетарные пакеты — r7Office, LibreOffice, Apache OpenOffice, ОnlyOffice, «Мой Офис» и открытые альтернативы Microsoft Office (включая облачную версию Microsoft 365).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0630A05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Средства корпоративных коммуникаций. К ним относятся корпоративные мессенджеры (отечественные VK Teams, Express, eXpress и зарубежние Slack, Mattermost, Rocket.Chat,), почтовые клиенты (Microsoft Outlook, Mozilla Thunderbird), системы видеоконференцсвязи.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DC623B1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Браузеры и клиенты сетевых сервисов. На рабочих станциях устанавливаются веб-браузеры («Яндекс.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Браузер», Google Chrome, Mozilla Firefox, Microsoft Edge) для работы с веб-ресурсами и SaaS-сервисами, а также терминальные клиенты — RDP-клиент для подключения к Windows-серверам, OpenSSH или PuTTY для удалённого доступа по протоколу SSH к Linux-системам.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C06D46C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Специализированное прикладное ПО. В зависимости от профиля деятельности организации на рабочих станциях устанав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ливаются бухгалтерские программы (1С: Предприятие, </w:t>
      </w:r>
      <w:r>
        <w:rPr>
          <w:highlight w:val="none"/>
        </w:rPr>
        <w:t xml:space="preserve">Контур, Моё дело, Saby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системы автоматизированного проектирования (КОМПАС-3D, AutoCAD), графические редакторы (Adobe Photoshop, GIMP, CorelDRAW), системы управления проектами (Jira, Trello, YouGile) и иные прикладные программы.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756BB698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6157408F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pPr>
      <w:r/>
      <w:bookmarkStart w:id="53" w:name="_Toc1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1.5 Понятие и назначение системы мониторинга локально-вычислительной сети</w:t>
      </w:r>
      <w:bookmarkEnd w:id="53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</w:p>
    <w:p w14:paraId="5273565B">
      <w:pPr>
        <w:pStyle w:val="1069"/>
        <w:pageBreakBefore w:val="false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r>
    </w:p>
    <w:p w14:paraId="3CF3C6F2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Под мониторингом локальной вычислительной сети понимается процесс непрерыв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ного наблюдения за состоянием сетевых устройств, серверов, сервисов и каналов связи с целью своевременного обнаружения отклонений от нормального режима работы, накопления статистических данных о производительности и предотвращения возникновения инцидентов.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22571B1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Система мониторинга — это программно-аппаратный комплекс, реализую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щий перечисленные функции в автоматическом режиме. Современная система мониторинга состоит из следующих компонентов: сервер мониторинга — центральный элемент, выполняющий сбор, обработку и анализ данных; база данных метрик — хранилище числовых показателей,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журналов событий и истории состояний; агенты — небольшие программы, устанавливаемые на контролируемые узлы и передающие данные о состоянии операционной системы и приложений; модули безагентного сбора данных — собирают информацию по протоколам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SNMP (</w:t>
      </w:r>
      <w:r>
        <w:rPr>
          <w:highlight w:val="none"/>
        </w:rPr>
        <w:t xml:space="preserve">Собирает метрики с сетевых устройств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 для мониторинга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ICMP (</w:t>
      </w:r>
      <w:r>
        <w:t xml:space="preserve">Проверяет сетевую доступность узла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IPMI (</w:t>
      </w:r>
      <w:r>
        <w:rPr>
          <w:highlight w:val="none"/>
        </w:rPr>
        <w:t xml:space="preserve">Управляет сервером на аппаратном уровне, даже если он выключен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WMI (</w:t>
      </w:r>
      <w:r>
        <w:rPr>
          <w:highlight w:val="none"/>
        </w:rPr>
        <w:t xml:space="preserve">Предоставляет доступ к внутренностям ОС Windows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по SSH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(</w:t>
      </w:r>
      <w:r>
        <w:rPr>
          <w:highlight w:val="none"/>
        </w:rPr>
        <w:t xml:space="preserve"> Обеспечивает безопасный удаленный доступ к командной строке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; веб-интерфейс — обеспечивает визуализацию данных, построение графиков и дашбордов, настройку системы; подсистема оповещений — отправляет уведомления о проблемах по электронной почте, через мессенджеры, SMS, в системы Service Desk.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0BC62CC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 основным методам сбора данных в системах мониторинга относя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тся: опрос по протоколу SNMP (Simple Network Management Protocol) — стандартный способ получения информации с сетевого оборудования (статус интерфейсов, загрузка, ошибки); проверки доступности по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ICMP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(ping) — простейшая проверка факта работы устройства в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сети; агентный сбор — наиболее детальные данные с серверов и рабочих станций; парсинг лог-файлов и журналов событий; анализ трафика по технологиям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NetFlow(</w:t>
      </w:r>
      <w:r>
        <w:rPr>
          <w:highlight w:val="none"/>
        </w:rPr>
        <w:t xml:space="preserve">Объединяет пакеты в «потоки» по одинаковым IP, портам и протоколам, а затем отправляет агрегированную статистику на коллектор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 /sFlow (</w:t>
      </w:r>
      <w:r>
        <w:rPr>
          <w:highlight w:val="none"/>
        </w:rPr>
        <w:t xml:space="preserve">Мониторинг высокоскоростных магистральных сетей (10G/100G) для снижения нагрузки на процессор коммутатора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 /jFlow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Сбор статистики о потоках трафика в сетевой инфраструктуре, построенной на устройствах Juniper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)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; синтетические проверки прикладных сервисов (HTTP-запросы, SSH-подключения, SQL-запросы).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2030003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Внедрение системы мониторинга на предприятии даёт ряд практических выгод: сокращение времени реакции на инциденты, уменьшение продолжительности простоев, накопление данных для планирования модернизации инфра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структуры, прозрачность работы IT-подразделения, повышение качества обслуживания пользователей. В долгосрочной перспективе мониторинг снижает совокупную стоимость владения IT-инфраструктурой за счёт перехода от реактивной модели обслуживания к проактивной.</w:t>
      </w:r>
      <w:r>
        <w:br w:type="page" w:clear="all"/>
      </w:r>
      <w:r>
        <w:rPr>
          <w:color w:val="auto"/>
        </w:rPr>
      </w:r>
      <w:r>
        <w:rPr>
          <w:color w:val="auto"/>
        </w:rPr>
      </w:r>
    </w:p>
    <w:p w14:paraId="10024D8A" w14:textId="77777777">
      <w:pPr>
        <w:pStyle w:val="1068"/>
        <w:suppressLineNumbers w:val="false"/>
        <w:pBdr/>
        <w:spacing w:after="0" w:before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4" w:name="_Toc1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2. АНАЛИЗ СУЩЕСТВУЮЩИХ РЕШЕНИЙ ДЛЯ МОНИТОРИНГА ЛОКАЛЬНО-ВЫЧИСЛИТЕЛЬНОЙ СЕТИ</w:t>
      </w:r>
      <w:bookmarkEnd w:id="5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6803AEF0">
      <w:pPr>
        <w:pStyle w:val="1068"/>
        <w:suppressLineNumbers w:val="false"/>
        <w:pBdr/>
        <w:spacing w:after="0" w:afterLines="0" w:before="0" w:beforeLines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7A58990C" w14:textId="77777777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5" w:name="_Toc1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 Обзор современных систем мониторинга</w:t>
      </w:r>
      <w:bookmarkEnd w:id="5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4406F2B1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6DAF9ED9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сего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дняшний день рынок систем мониторинга локально-вычислительных сетей предлагает большое количество программных решений, отличающихся друг от друга по архитектуре, моделям лицензирования, функциональным возможностям, требованиям к ресурсам и стоимости владен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ия. Условно все доступные решения можно разделить на три категории: свободно распространяемые системы с открытым исходным кодом, проприетарные корпоративные продукты и облачные SaaS-сервисы. Рассмотрим наиболее популярные представители каждой из категорий.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2A574BED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09988A0E" w14:textId="77777777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6" w:name="_Toc1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2.1.1 Свободно распространяемые системы мониторинга</w:t>
      </w:r>
      <w:bookmarkEnd w:id="5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2CBFA16D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D36B363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Zabbix. Корпоративная платформа мониторинга с открытым исходным кодом, распространяемая по лицензии GPL. Имеет централизованный веб-интерфейс и поддерживает как аге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нтный, так и безагентный методы сбора данных (SNMP, IPMI, JMX, ICMP, HTTP-проверки, агенты для Linux/Windows). Ключевые особенности применительно к мониторингу ЛВС: автоматическое обнаружение сетевых устройств, глубокий SNMP-мониторинг (статусы интерфейсов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загрузка портов, счётчики ошибок), возможность построения сетевых карт топологии, гибкая система триггеров и шаблонов на тысячи моделей оборудования. Преимуществами Zabbix являются бесплатное распространение, отличная масштабируемость (от десятков до сот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ен тысяч контролируемых устройств), активное русскоязычное сообщество, полная локализация интерфейса и подробная документация. К недостаткам относят достаточно высокий порог входа и необходимость предварительной настройки шаблонов под конкретное окружение.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028D7B0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Nagios Core и Icinga 2. Классические системы м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ониторинга, проверенные временем, изначально ориентированные на мониторинг доступности сервисов и оперативную отправку оповещений. Nagios Core является «эталонной» свободной системой мониторинга, а Icinga 2 представляет собой её эволюционное развитие с сов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ременной архитектурой, поддержкой кластеризации и REST API. Системы хорошо подходят для проверки доступности сетевых устройств по ICMP, мониторинга прикладных сервисов (HTTP, SSH, SMTP, DNS) и пороговых SNMP-проверок. К сильным сторонам относятся высокая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табильность, модульная архитектура с огромным количеством плагинов и предсказуемое поведение. Слабая сторона Nagios Core — морально устаревший веб-интерфейс и конфигурация преимущественно через текстовые файлы; в Icinga 2 этот недостаток частично устранён.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B95515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Prometheus +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Grafana. Современный стек мониторинга, ставший де-факто стандартом для динамических облачных сред (Kubernetes, контейнеризованные приложения), но применимый и для классических ЛВС. Prometheus реализует pull-модель — он самостоятельно опрашивает контролируе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мые узлы через так называемые экспортёры. Для мониторинга сетевого оборудования используется snmp_exporter, преобразующий данные SNMP в формат Prometheus. Grafana обеспечивает визуализацию метрик через настраиваемые дашборды. Преимуществами стека являются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мощный язык запросов PromQL для анализа временных рядов, высокая надёжность и общирная экосистема экспортёров. К ограничениям относится тот факт, что система ориентирована на метрики и не предназначена для хранения сырых лог-файлов и работы с трапами SNMP.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31FBE4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LibreNMS. Форк системы Obs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ervium с открытым исходным кодом, специализированный на сетевом мониторинге. Обеспечивает автоматическое обнаружение устройств по протоколам LLDP, CDP, OSPF, BGP, сбор метрик по SNMP, построение красивых графиков и расширенную систему оповещений. Преимущес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тва: простое первоначальное развёртывание (особенно при использовании готового образа), полностью бесплатное распространение, активная разработка. Недостатки: меньшая гибкость по сравнению с Zabbix, перегруженный интерфейс при большом количестве устройств.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CCC5F63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Cacti. Специализированный инструмент для по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строения графиков временных рядов на основе данных, получаемых по SNMP. Использует библиотеку RRDtool для хранения и отображения статистики. Cacti остаётся актуальным решением для задач долгосрочного трендового анализа использования полосы пропускания кана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лов связи, загрузки процессоров и памяти сетевых устройств. Сильная сторона — простота освоения и эффективное решение узкой задачи построения графиков. Слабые стороны — ограниченные возможности оповещений и автоматизации, морально устаревший веб-интерфейс.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337E49D9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3DDD1AA4" w14:textId="77777777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7" w:name="_Toc2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2.1.2 Проприетарные корпоративные решения</w:t>
      </w:r>
      <w:bookmarkEnd w:id="5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6433391D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F8BE2DE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PRTG Network Monitor. Универсальная система мониторинга от немецкой компании Paessler AG с интуитивным веб-интерфейсом и философией «установил и работает». Поддерживает свыше 200 встр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оенных датчиков (sensors) различных типов: ICMP-проверки, SNMP-опросы, NetFlow/sFlow-анализ трафика, мониторинг производительности баз данных и веб-приложений. Обеспечивает автообнаружение сети и построение карт топологии в реальном времени. К преимущества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 относятся простота установки и эксплуатации, наглядный интерфейс, доступная бесплатная версия с ограничением в 100 датчиков. Главный недостаток — лицензирование по количеству датчиков, что делает систему дорогостоящей при масштабировании на крупные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89759CB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SolarWinds Network Performance Monitor (NPM). Отраслевой стандарт среди коммерческих систем мониторинга сетевой инфраст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руктуры. Предоставляет глубокую аналитику производительности сети, мониторинг трафика по технологиям NetFlow, sFlow и jFlow, диагностику беспроводных сетей, прогнозирование загрузки каналов связи и продвинутое построение карт топологии. Сильные стороны: ши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рочайший функционал, специально разработанный под задачи сетевых инженеров, мощные средства отчётности. Слабые стороны: высокая совокупная стоимость владения, существенные требования к ресурсам серверной части, ограниченная доступность на российском рынке.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A69D360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Checkmk (Raw Edition / Enterprise Edition). Современная платформа, объединяющая мониторинг серверов, приложений, сетевого оборудования и систем хранения данных. Существует в двух редакциях: бесплатная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Raw Edition с открытым исходным кодом и коммерческая Enterprise Edition с расширенным функционалом. Среди ключевых особенностей: автоматическое создание хостов и сервисов на основе правил, встроенная поддержка SNMP-мониторинга сетевого оборудования, прове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рки BGP, инвентаризация устройств. Преимущества: высокая степень автоматизации, хорошая масштабируемость, удобный интерфейс настройки. Недостатки: избыточная функциональность для очень малых сетей, ряд продвинутых возможностей доступен только в Enterprise.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0B54C0E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Microsoft System Center Operations Manager (SCOM). Комплексное решение для мониторинга IT-инфраструктуры, ориентированное на среды, построе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нные преимущественно на технологиях Microsoft. Мониторинг сетевых устройств осуществляется через Management Packs — специализированные дополнения, поставляемые либо самой Microsoft, либо производителями оборудования. Хорошо интегрируется с Active Directory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серверами Windows и виртуализацией Hyper-V. Преимущество — глубокая интеграция с экосистемой Microsoft и единая консоль управления всей инфраструктурой. Недостатки — высокая стоимость лицензирования и существенная сложность развёртывания и сопровождения.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77855906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5D105435" w14:textId="77777777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8" w:name="_Toc2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2.1.3 Облачные решения</w:t>
      </w:r>
      <w:bookmarkEnd w:id="5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30871A66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435DA5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Облачные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мониторинга (Datadog, Auvik, ManageEngine OpManager Cloud) представляют собой SaaS-сервисы, в которых сбор, хранение и анализ данных происходят на стороне облачного провайдера. На контролируемых узлах ЛВС устанавливаются легковесные агенты или сбор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щики данных, передающие метрики в облако через защищённые каналы. Auvik специализирован именно на мониторинге сетевого оборудования: умеет автоматически строить карты топологии, отслеживать трафик и предоставлять удалённый доступ к управлению устройствами.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5A7C2BE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Преимущества облачных решений: отсутствие необходимости разворачивать собственную серверную инфраструктуру мониторинга, быстрый старт, автоматические обновления, доступ из любой точки через веб-интерфейс. Недостатки: модель постоянной подпис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ки (OPEX), передача данных о внутренней сетевой инфраструктуре третьей стороне (что критично для требований информационной безопасности и российского законодательства о персональных данных), зависимость качества мониторинга от стабильности интернет-канала.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32C25C1B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43177005" w14:textId="77777777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9" w:name="_Toc2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2.2 Критерии оценки систем мониторинга</w:t>
      </w:r>
      <w:bookmarkEnd w:id="5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585FE494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4C10561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проведения объективного сравнительного анализа рассмотренных систем были выбраны десять критериев, охватывающих как технические, так и экономические аспекты внедрения и эксплуатации.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758031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1. Тип лицензии. Определяет правовой режим использования продукта. Программы с открытым исходным кодом (Open Source) распространяются бесплатно по свободным лицензиям GPL, BSD, Apache; пользователю 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еобходимо самостоятельно либо силами привлечённого специалиста выполнить развёртывание и сопровождение. Проприетарные системы поставляются по коммерческим лицензиям — единовременным или подписочным, обычно с включённой технической поддержкой производителя.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1B08BA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2. Стоимость владения (TCO, Total Cost of Ownership). Учитывает все реальные расходы на систему мониторинга за весь срок её эксплуатации: первоначальные затраты на лицензии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 оборудование, затраты на труд специалистов по установке и сопровождению, расходы на обновление и расширение, потребляемая электроэнергия. Бесплатное ПО не всегда оказывается дешевле в долгосрочной перспективе из-за более высоких трудозатрат на настройку.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A71ECC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3. Сложность внедрения и администрирования. Отражает требуемый уровень квалификации специалиста и время, необходимое для запуска сис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темы в работу. Высокий показатель сложности означает необходимость глубокого понимания принципов работы, ручной настройки конфигурационных файлов, отладки взаимодействия компонентов; низкий — возможность развёртывания «из коробки» с минимальной настройкой.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4BDF05B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4. Мониторинг сетевого оборудования через SNMP. Оценивает глубину и качес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тво поддержки протокола SNMP (версии 1, 2c и 3). Качественный SNMP-мониторинг позволяет получать сведения о статусе портов коммутаторов, утилизации интерфейсов, температуре оборудования, состоянии вентиляторов и блоков питания, ошибках на канальном уровне.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5938BE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5. Анализ сетевого трафика. Способность системы получать и обрабатыва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ть данные технологий NetFlow, sFlow, jFlow, IPFIX. Анализ потоков трафика позволяет определять, какие хосты и приложения наиболее активно используют пропускную способность каналов связи, выявлять аномальную сетевую активность, оптимизировать маршрутизацию.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6AA1607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6. Визуализация и дашборды. Удобство представления собранных данных в виде графиков, диаграмм, карт топологии и сводных панелей. Качественная визуализация значительно ускоряет диагностику проблем и облегчает повседневный контроль состояния инфраструктуры.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60EF01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7. Гибкость и масштабируемость. Способность системы развивать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ся вместе с инфраструктурой предприятия: поддерживать рост количества контролируемых узлов, добавлять новые типы проверок, интегрироваться со сторонними системами через API, поддерживать распределённую установку с несколькими прокси-серверами сбора данных.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25D5B39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8. Гибкость системы оповещений. 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озможности тонкой настройки правил уведомлений: пороги срабатывания, временные расписания (рабочее время / нерабочее время), каналы доставки (электронная почта, SMS, мессенджеры, голосовые звонки, интеграция с системами Service Desk), эскалация инцидентов.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CF8A022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9. Сообщество и поддержка. Для свободных систем — наличие активного сообщества пользователей, форумов, базы знаний, готовых шаблонов и плагинов. Для коммерческих — качество и оперативность работы службы технической поддержки производителя.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FBF424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10. Целевая аудитория. Тип орган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изаций и сред, для которых система разработана и в которых она наиболее эффективна.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9E1FC70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0" w:name="_Toc2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2.3 Сравнительный анализ систем мониторинга</w:t>
      </w:r>
      <w:bookmarkEnd w:id="6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D0B940D" w14:textId="3D288924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основе выбранных критериев был проведён сравнительный анализ наиболее популярных систем мониторинга. Результаты представлены в таблице 1.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  <w:lang w:val="en-US"/>
        </w:rPr>
      </w:r>
    </w:p>
    <w:p w14:paraId="7FA29B5E">
      <w:pPr>
        <w:pBdr/>
        <w:shd w:val="nil" w:color="auto"/>
        <w:spacing/>
        <w:ind/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pP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  <w:br w:type="page" w:clear="all"/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r>
    </w:p>
    <w:p w14:paraId="6EE4DA64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  <w:lang w:val="en-US" w:bidi="en-US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  <w:lang w:val="en-US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r>
    </w:p>
    <w:p w14:paraId="47FC6B90" w14:textId="77777777">
      <w:pPr>
        <w:pStyle w:val="1067"/>
        <w:pBdr/>
        <w:spacing w:after="0" w:afterAutospacing="0" w:before="0" w:beforeAutospacing="0" w:line="360" w:lineRule="auto"/>
        <w:ind/>
        <w:jc w:val="right"/>
        <w:rPr>
          <w:rFonts w:eastAsia="Times New Roman" w:cs="Times New Roman"/>
          <w:i w:val="0"/>
          <w:iCs w:val="0"/>
          <w:sz w:val="28"/>
          <w:szCs w:val="28"/>
          <w:highlight w:val="none"/>
        </w:rPr>
      </w:pP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w:t xml:space="preserve">Таблица 1</w:t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</w:p>
    <w:p w14:paraId="79D06A44" w14:textId="77777777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i w:val="0"/>
          <w:iCs w:val="0"/>
          <w:sz w:val="28"/>
          <w:szCs w:val="28"/>
          <w:highlight w:val="none"/>
        </w:rPr>
      </w:pP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w:t xml:space="preserve"> </w:t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w:t xml:space="preserve">Сравнительный анализ систем мониторинга ЛВС</w:t>
      </w:r>
      <w:r>
        <w:rPr>
          <w:rFonts w:eastAsia="Times New Roman" w:cs="Times New Roman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</w:p>
    <w:p w14:paraId="74BF8BE3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233910" cy="543986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8379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5399999" flipH="0" flipV="0">
                          <a:off x="0" y="0"/>
                          <a:ext cx="9233910" cy="54398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27.08pt;height:428.34pt;mso-wrap-distance-left:0.00pt;mso-wrap-distance-top:0.00pt;mso-wrap-distance-right:0.00pt;mso-wrap-distance-bottom:0.00pt;rotation:89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  <w:br w:type="page" w:clear="all"/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</w:r>
    </w:p>
    <w:p w14:paraId="4EFE1D24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1" w:name="_Toc2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2.4 Обоснование выбора системы мониторинга</w:t>
      </w:r>
      <w:bookmarkEnd w:id="6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4F4853D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96E031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 итогам сравнительного анализа в качестве системы для практической реализации в рамках дипломного проекта была выбрана платформа Zabbix. Данный выбор обоснован следующими соображениями.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D31727A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Во-первых, Zabbix распространяется бесплатно по лицензии GPL, что полностью исключает затраты на приобретение программного обеспечения и снимает риски нелицензионного использования.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4290B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Во-вторых, Zabbix обеспечивает максимально широкий функциональный охват сре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ди свободных решений: единая платформа поддерживает агентный и безагентный сбор данных, мониторинг по SNMP всех версий, проверки прикладных сервисов, базовый анализ NetFlow через дополнения, гибкую систему триггеров и оповещений, построение карт топологии.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5FCE963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В-третьих, Zabbix имеет очень активное русскоязычное сообщество, полностью переведённый интерфейс и подробную локализованную документацию, что важно с точки зрения практики обслуживания системы на российских предприятиях.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B34E1E7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В-четвёртых, разработчик Zabbix — компания Zabbix LLC — официально присутствует на российском рынке (московское представительство, обучающие центры, партнёрская сеть), что обеспечивает доступность профессиональной поддержки при необходимости.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5D828B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В-пятых, Zabbix демонстрирует хорошую масштабируемость: одна инсталляция способна контролировать от десятков до сотен тысяч узлов, что позволяет использовать одну и ту же платформу как в небольшой компании, так и в крупной организации.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F6534E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Таким образом,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Zabbix представляет собой оптимальный выбор для проекта внедрения системы мониторинга ЛВС в организации малого или среднего размера, не требующий лицензионных отчислений и обеспечивающий достаточный функциональный запас для будущего роста инфраструктуры. </w:t>
      </w:r>
      <w:r>
        <w:br w:type="page" w:clear="all"/>
      </w:r>
      <w:r>
        <w:rPr>
          <w:color w:val="auto"/>
        </w:rPr>
      </w:r>
      <w:r>
        <w:rPr>
          <w:color w:val="auto"/>
        </w:rPr>
      </w:r>
    </w:p>
    <w:p w14:paraId="0E27B00A" w14:textId="77777777">
      <w:pPr>
        <w:pStyle w:val="1067"/>
        <w:pBdr/>
        <w:spacing w:after="0" w:before="0" w:line="360" w:lineRule="auto"/>
        <w:ind w:firstLine="864"/>
        <w:jc w:val="both"/>
        <w:rPr/>
      </w:pPr>
      <w:r/>
      <w:r/>
    </w:p>
    <w:p w14:paraId="3361A8EE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2" w:name="_Toc2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3. ПРАКТИЧЕСКАЯ РЕАЛИЗАЦИЯ СИСТЕМЫ МОНИТОРИНГА НА БАЗЕ ZABBIX</w:t>
      </w:r>
      <w:bookmarkEnd w:id="6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68E3D68D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31446EB1" w14:textId="77777777">
      <w:pPr>
        <w:pStyle w:val="1069"/>
        <w:suppressLineNumbers w:val="false"/>
        <w:pBdr/>
        <w:spacing w:after="0" w:before="0" w:line="360" w:lineRule="auto"/>
        <w:ind w:firstLine="709" w:left="0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3" w:name="_Toc2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3.1 Описание используемой инфраструктуры</w:t>
      </w:r>
      <w:bookmarkEnd w:id="6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F73D6FE">
      <w:pPr>
        <w:pStyle w:val="1069"/>
        <w:suppressLineNumbers w:val="false"/>
        <w:pBdr/>
        <w:spacing w:after="0" w:afterLines="0" w:before="0" w:beforeLines="0" w:line="360" w:lineRule="auto"/>
        <w:ind w:firstLine="709" w:left="0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16320B9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практической реализации задачи мониторинга была развёрнута тестовая инфраструктура, имитирующая типовую ЛВС небольшого пре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дприятия. Все компоненты стенда запущены в виде виртуальных машин на платформе VirtualBox, что позволяет легко воспроизводить и масштабировать конфигурацию. В состав стенда вошли: сервер мониторинга на базе отечественной ОС Альт Сервер 10, рабочая станция 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Альт Workstation 11.1 для визуального просмотра Zabbix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а также активное сетевое оборудование — коммутатор и маршрутизатор с поддержкой протокола SNMP, в качестве примера я взял Альт Je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OS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Полный перечень узлов стенда и их характеристики приведены в таблице 2.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F03F06C" w14:textId="77777777">
      <w:pPr>
        <w:pStyle w:val="1067"/>
        <w:pBdr/>
        <w:spacing w:after="0" w:afterAutospacing="0" w:before="0" w:beforeAutospacing="0" w:line="360" w:lineRule="auto"/>
        <w:ind w:firstLine="0" w:left="0"/>
        <w:jc w:val="right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Таблица 2 </w:t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</w:r>
    </w:p>
    <w:p w14:paraId="09F2EAAC" w14:textId="77777777">
      <w:pPr>
        <w:pStyle w:val="1067"/>
        <w:pBdr/>
        <w:spacing w:after="0" w:afterAutospacing="0" w:before="0" w:beforeAutospacing="0" w:line="360" w:lineRule="auto"/>
        <w:ind w:firstLine="0" w:left="0"/>
        <w:jc w:val="center"/>
        <w:rPr>
          <w:i w:val="0"/>
          <w:iCs w:val="0"/>
          <w:color w:val="auto"/>
        </w:rPr>
      </w:pP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Состав тестовой инфраструктуры</w:t>
      </w:r>
      <w:r>
        <w:rPr>
          <w:i w:val="0"/>
          <w:iCs w:val="0"/>
          <w:color w:val="auto"/>
        </w:rPr>
      </w:r>
      <w:r>
        <w:rPr>
          <w:i w:val="0"/>
          <w:iCs w:val="0"/>
          <w:color w:val="auto"/>
        </w:rPr>
      </w:r>
    </w:p>
    <w:tbl>
      <w:tblPr>
        <w:tblInd w:w="0" w:type="dxa"/>
        <w:tblW w:w="9355" w:type="dxa"/>
        <w:tblCellMar>
          <w:left w:w="120" w:type="dxa"/>
          <w:top w:w="80" w:type="dxa"/>
          <w:right w:w="12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597"/>
        <w:gridCol w:w="2202"/>
        <w:gridCol w:w="2201"/>
        <w:gridCol w:w="1800"/>
        <w:gridCol w:w="2555"/>
      </w:tblGrid>
      <w:tr>
        <w:trPr>
          <w:tblHeader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27D9C9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70989992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Имя узла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6DD71FA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Роль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1DD7734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ОС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4C92E3A9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IP-адрес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649841B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2CF06CF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srv-zabbix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60306C68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Сервер мониторинга Zabbix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0DDCF26A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Сервер 10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505EE505" w14:textId="77777777">
            <w:pPr>
              <w:pStyle w:val="1067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192.168.100.1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8F999B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701FE691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lang w:val="en-US"/>
              </w:rPr>
              <w:t xml:space="preserve">cli-linux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-01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7975314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Рабочая станция (с агентом)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12D1DA5B" w14:textId="77777777">
            <w:pPr>
              <w:pStyle w:val="1067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Workstation 11.1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127C4F84" w14:textId="77777777">
            <w:pPr>
              <w:pStyle w:val="1067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192.168.100.2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5FCD5EC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57C28DFE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gw-router-01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78DD03B0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Маршрутизатор/шлюз (SNMP, ICMP)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3C880635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Je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lang w:val="en-US"/>
              </w:rPr>
              <w:t xml:space="preserve">OS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18E1289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</w:tbl>
    <w:p w14:paraId="60061E4C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2FC1ECE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узлы стенда объединены в общую подсеть 192.168.100.0/24. Маршрутизатор gw-router-01 обеспечивает выход в сеть Интернет (для загрузки пакетов и обновлений). Сервер мониторинга получил статический IP-адрес 192.168.100.1 и DNS-имя srv-zabbix.l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an.local. Такая конфигурация позволяет отработать все ключевые сценарии мониторинга: агентный мониторинг серверов и рабочих станций, безагентный SNMP-мониторинг сетевого оборудования, проверки доступности по протоколу ICMP, на рисунке 1 указана схема сети.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329C42ED" w14:textId="4B567A9D">
      <w:pPr>
        <w:pStyle w:val="1069"/>
        <w:pBdr/>
        <w:spacing w:after="0" w:afterAutospacing="0" w:before="0" w:beforeAutospacing="0" w:line="360" w:lineRule="auto"/>
        <w:ind w:firstLine="0"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0375" cy="34194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3857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000375" cy="34194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6.25pt;height:269.2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</w:p>
    <w:p w14:paraId="53B8735C" w14:textId="77777777">
      <w:pPr>
        <w:pStyle w:val="1067"/>
        <w:pBdr/>
        <w:spacing/>
        <w:ind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pPr>
      <w:r>
        <w:t xml:space="preserve">Рисунок 1 — схема сети</w:t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r>
    </w:p>
    <w:p w14:paraId="539EB236">
      <w:pPr>
        <w:pStyle w:val="1067"/>
        <w:pBdr/>
        <w:spacing/>
        <w:ind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</w:p>
    <w:p w14:paraId="4198A302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4" w:name="_Toc2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3.2 Устанока серверной операционной системы</w:t>
      </w:r>
      <w:bookmarkEnd w:id="6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320FEB87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14246A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качестве операционной системы для сервера мониторинга был выбран Альт Сервер 10 — серверны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й дистрибутив отечественной разработки. Дистрибутив включён в Единый реестр российских программ (Реестровая запись №1541 от 05.09.2016) для электронных вычислительных машин и баз данных Минцифры России и соответствует требованиям КИИ (</w:t>
      </w:r>
      <w:r>
        <w:rPr>
          <w:rStyle w:val="1082"/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"О безопасности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критической информационной инфраструктуры Российской Федерации"). Альт Сервер 10 имеет в стандартных репозиториях актуальны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 версии PostgreSQL и Apache HTTP Server, а пакеты Zabbix 6.x поставляются в составе официального репозитория платформы p10. Дистрибутив поддерживается производителем, имеет сертификат ФСТЭК России и подходит для построения корпоративных серверных решений.</w:t>
      </w:r>
      <w:r/>
    </w:p>
    <w:p w14:paraId="45474302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завершения базовой установки операционной си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стемы выполняется обновление списка пакетов и установленных компонентов. В Альт Сервер для управления пакетами используется штатный менеджер apt-get (надстройка над RPM), а для обновления системы — утилита update-kernel или комбинация apt-get dist-upgrade: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EC31A4D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eastAsia="Times New Roman" w:cs="Times New Roman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  <w:highlight w:val="none"/>
        </w:rPr>
        <w:t xml:space="preserve">apt-get update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5A8D170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eastAsia="Times New Roman" w:cs="Times New Roman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  <w:highlight w:val="none"/>
        </w:rPr>
        <w:t xml:space="preserve">apt-get dist-upgrade -y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FAA0FD3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Далее проверяется правильность настройки часового пояса (важно для корректной работы триггеров и графиков):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8EE4F21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</w:rPr>
        <w:t xml:space="preserve">timedatectl set-timezone Asia/Novosibirsk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FCE8BD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Также необходимо настроить сетевые параметры — статический IP-адрес, шл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юз и DNS-серверы. В Альт Сервер для этого используется система etcnet: соответствующие настройки прописываются в каталоге /etc/net/ifaces/eth0/ (файлы options, ipv4address, ipv4route, resolv.conf), после чего применяются командой systemctl restart network.</w:t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765A14FE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/>
    </w:p>
    <w:p w14:paraId="1C956EE6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color w:val="auto"/>
          <w:highlight w:val="none"/>
        </w:rPr>
      </w:pPr>
      <w:r/>
      <w:bookmarkStart w:id="65" w:name="_Toc2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3.3 Настройка и запуск сервера Zabbix</w:t>
      </w:r>
      <w:bookmarkEnd w:id="65"/>
      <w:r>
        <w:rPr>
          <w:color w:val="auto"/>
        </w:rPr>
      </w:r>
      <w:r>
        <w:rPr>
          <w:color w:val="auto"/>
          <w:highlight w:val="none"/>
        </w:rPr>
      </w:r>
    </w:p>
    <w:p w14:paraId="69B3E151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both"/>
        <w:outlineLvl w:val="1"/>
        <w:rPr>
          <w:color w:val="auto"/>
        </w:rPr>
      </w:pPr>
      <w:r>
        <w:rPr>
          <w:color w:val="auto"/>
          <w:highlight w:val="none"/>
        </w:rPr>
      </w:r>
      <w:r>
        <w:rPr>
          <w:color w:val="auto"/>
          <w:highlight w:val="none"/>
        </w:rPr>
      </w:r>
      <w:r>
        <w:rPr>
          <w:color w:val="auto"/>
        </w:rPr>
      </w:r>
    </w:p>
    <w:p w14:paraId="3B0AB0A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качестве системы управления базами данных для Zabbix выбрана PostgreSQL — мощная свободно распространяемая объектно-реляционная СУБД, рекомендуемая разработчиками Zabbix как предпочтительная для производственных установок начиная с версии Zabbix 6.0.</w:t>
      </w:r>
      <w:r>
        <w:rPr>
          <w:color w:val="auto"/>
        </w:rPr>
      </w:r>
      <w:r>
        <w:rPr>
          <w:color w:val="auto"/>
        </w:rPr>
      </w:r>
    </w:p>
    <w:p w14:paraId="04D5C77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Пакеты Zabbix 6.x д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ля платформы Альт Сервер 10 поставляются в составе официального репозитория платформы p10, поэтому подключение сторонних репозиториев не требуется. Установка СУБД PostgreSQL, сервера Zabbix, веб-интерфейса и сопутствующих утилит выполняется одной командой:</w:t>
      </w:r>
      <w:r>
        <w:rPr>
          <w:color w:val="auto"/>
        </w:rPr>
      </w:r>
      <w:r>
        <w:rPr>
          <w:color w:val="auto"/>
        </w:rPr>
      </w:r>
    </w:p>
    <w:p w14:paraId="2A5EB36A" w14:textId="77777777">
      <w:pPr>
        <w:pStyle w:val="1067"/>
        <w:suppressLineNumbers w:val="false"/>
        <w:pBdr/>
        <w:spacing w:after="0" w:before="0" w:line="360" w:lineRule="auto"/>
        <w:ind w:firstLine="709" w:left="720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apt-get update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2E072067" w14:textId="77777777">
      <w:pPr>
        <w:pStyle w:val="1067"/>
        <w:suppressLineNumbers w:val="false"/>
        <w:pBdr/>
        <w:spacing w:after="0" w:before="0" w:line="360" w:lineRule="auto"/>
        <w:ind w:firstLine="709" w:left="720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apt-get install postgresql16-server zabbix-server-postgresql</w:t>
      </w: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 </w:t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zabbix-phpfrontend-apache2 zabbix-common-database-postgresql</w:t>
      </w: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 </w:t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zabbix-agent fping -y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6768293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Альт Сервер 10 после установки кластер PostgreSQL необходимо инициализировать, после чего запустить службу и включить её в автозагрузку: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3BF7A1C7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/etc/init.d/postgresql initdb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57547C04" w14:textId="77777777">
      <w:pPr>
        <w:pStyle w:val="1067"/>
        <w:suppressLineNumbers w:val="false"/>
        <w:pBdr/>
        <w:spacing w:after="0" w:before="0" w:line="360" w:lineRule="auto"/>
        <w:ind w:firstLine="709" w:left="72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systemctl enable --now postgresql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553CBDF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Создание учётной записи пользователя СУБД и базы данных Zabbix. Все команды выполняются от имени системного пользователя postgres: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50906C92" w14:textId="77777777">
      <w:pPr>
        <w:pStyle w:val="1067"/>
        <w:suppressLineNumbers w:val="false"/>
        <w:pBdr/>
        <w:spacing w:after="0" w:before="0" w:line="360" w:lineRule="auto"/>
        <w:ind w:firstLine="709" w:left="72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postgres -c "createuser --pwprompt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0E1FFBE3" w14:textId="77777777">
      <w:pPr>
        <w:pStyle w:val="1067"/>
        <w:suppressLineNumbers w:val="false"/>
        <w:pBdr/>
        <w:spacing w:after="0" w:before="0" w:line="360" w:lineRule="auto"/>
        <w:ind w:firstLine="709" w:left="72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postgres -c "createdb -O zabbix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374FF0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запрос будет введён пароль для учётной записи zabbix — его необходимо запомнить, так как он понадобится при настройке zabbix_server.conf.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6C2AFBB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Импорт исходной схемы базы данных и предустановленных данных. В Альт Сервер файлы схемы поставляются в пакете zabbix-common-database-postgresql: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22FD25D8" w14:textId="77777777">
      <w:pPr>
        <w:pStyle w:val="1067"/>
        <w:suppressLineNumbers w:val="false"/>
        <w:pBdr/>
        <w:spacing w:after="0" w:before="0" w:line="360" w:lineRule="auto"/>
        <w:ind w:firstLine="709" w:left="72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zcat /usr/share/doc/zabbix-common-database-postgresql/server.sql.gz | </w:t>
      </w:r>
      <w:r>
        <w:rPr>
          <w:rFonts w:eastAsia="Times New Roman" w:cs="Times New Roman"/>
          <w:color w:val="auto"/>
          <w:sz w:val="28"/>
          <w:szCs w:val="28"/>
        </w:rPr>
        <w:t xml:space="preserve">su - postgres -c "psql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A4FBC8E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Процесс импорта может занять несколько минут — это нормально, так как создаётся большое количество таблиц и заполняются предустановленные значения для шаблонов, регулярных выражений и стандартной конфигурации.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389F8E0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Веб-интерфейс Zabbix реализова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 на языке PHP и работает под управлением веб-сервера Apache HTTP Server (либо Nginx). Пакет zabbix-phpfrontend-apache2, установленный на предыдущем шаге, автоматически устанавливает Apache (в Альт Сервер сервис называется httpd2) и необходимые модули PHP.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E3BF543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корректной работы веб-интерфейса требуется откорректировать ряд параметров PHP в файле /etc/httpd2/conf/extra-available/zabbix.conf: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0D3226CF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max_execution_time 600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5924420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memory_limit 256M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CC2653E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post_max_size 32M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E555A12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upload_max_filesize 16M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4CE41E5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max_input_time 600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86B5D53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max_input_vars 10000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4F0C183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date.timezone Asia/Novosibirsk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ECA6283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сохранения изменений необходимо перезапустить службу веб-сервера: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75E668F3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systemctl restart httpd2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10EF926B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Основной конфигурационный файл сервера Zabbix расположен по пути /etc/zabbix/zabbix_server.conf. В него вносятся параметры подключения к базе данных: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6BFA2A0E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DBHost=localhost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7D420B9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DBName=zabbix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2D2D34F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DBUser=zabbix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931346F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DBPassword=</w:t>
      </w: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P@ssw0rd!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9602A40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DBPort=5432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BA23DF8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Дополнительно рекомендуется увеличить количество предзапускаемых дочерних процессов опросчиков (poller) и обработчиков trap-сообщений, особенно при планируемом большом количестве контролируемых узлов: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0943FAF2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StartPollers=10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9A7594E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StartPingers=5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8BCCABD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StartTrappers=5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A43FDFB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StartDiscoverers=3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C0A4781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CacheSize=64M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0037D36E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HistoryCacheSize=32M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BF79397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Запуск сервера Zabbix и Apache, включение их в автозагрузку: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6CC7B1C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systemctl enable --now zabbix_server zabbix_agentd httpd2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7A255B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Проверка статуса службы выполняется командой systemctl status zabbix_server. В случае проблем диагностика осуществляется по журналу /var/log/zabbix/zabbix_server.log.</w:t>
      </w:r>
      <w:r>
        <w:rPr>
          <w:color w:val="auto"/>
        </w:rPr>
      </w:r>
      <w:r>
        <w:rPr>
          <w:color w:val="auto"/>
        </w:rPr>
      </w:r>
    </w:p>
    <w:p w14:paraId="2375D0F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того как сервер Zabbix запущен, можно приступить к настройке веб-интерфейса. Для этого в браузере открывается адрес http://192.168.100.1/zabbix. При первом обращении запускается мастер установки, который проводит пользователя через несколько шагов:</w:t>
      </w:r>
      <w:r>
        <w:rPr>
          <w:color w:val="auto"/>
        </w:rPr>
      </w:r>
      <w:r>
        <w:rPr>
          <w:color w:val="auto"/>
        </w:rPr>
      </w:r>
    </w:p>
    <w:p w14:paraId="79E7864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1 — приветственный экран и выбор языка интерфейса (русский, английский и др.).</w:t>
      </w:r>
      <w:r>
        <w:rPr>
          <w:color w:val="auto"/>
        </w:rPr>
      </w:r>
      <w:r>
        <w:rPr>
          <w:color w:val="auto"/>
        </w:rPr>
      </w:r>
    </w:p>
    <w:p w14:paraId="459D2F37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2 — проверка предустановле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нных условий. Мастер проверяет наличие необходимых расширений PHP, корректность настроек php.ini, доступность временных каталогов. Все пункты должны быть отмечены как «OK». В случае предупреждений необходимо устранить замечания и нажать кнопку «Повторить».</w:t>
      </w:r>
      <w:r>
        <w:rPr>
          <w:color w:val="auto"/>
        </w:rPr>
      </w:r>
      <w:r>
        <w:rPr>
          <w:color w:val="auto"/>
        </w:rPr>
      </w:r>
    </w:p>
    <w:p w14:paraId="4541199B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3 — настройка подключения к базе данных. Указывается тип СУБД (PostgreSQL), хост (localhost), порт (5432), имя БД (zabbix), пользователь (zabbix) и пароль, заданный ранее.</w:t>
      </w:r>
      <w:r>
        <w:rPr>
          <w:color w:val="auto"/>
        </w:rPr>
      </w:r>
      <w:r>
        <w:rPr>
          <w:color w:val="auto"/>
        </w:rPr>
      </w:r>
    </w:p>
    <w:p w14:paraId="36A178B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4 — настройка параметров сервера: имя экземпляра Zabbix, временная зона по умолчанию, цветовая схема.</w:t>
      </w:r>
      <w:r>
        <w:rPr>
          <w:color w:val="auto"/>
        </w:rPr>
      </w:r>
      <w:r>
        <w:rPr>
          <w:color w:val="auto"/>
        </w:rPr>
      </w:r>
    </w:p>
    <w:p w14:paraId="2E66299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5 — итоговый обзор конфигурации и сохранение конфигурационного файла /etc/zabbix/web/zabbix.conf.php.</w:t>
      </w:r>
      <w:r>
        <w:rPr>
          <w:color w:val="auto"/>
        </w:rPr>
      </w:r>
      <w:r>
        <w:rPr>
          <w:color w:val="auto"/>
        </w:rPr>
      </w:r>
    </w:p>
    <w:p w14:paraId="71263F9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завершения работы мастера на экране отображается фор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ма входа в систему. Используются стандартные учётные данные для первого входа: имя пользователя — Admin, пароль — zabbix. На рисунке 2 изображён пример. Эти данные обязательно нужно сменить сразу после входа через раздел «Администрирование → Пользователи».</w:t>
      </w:r>
      <w:r>
        <w:rPr>
          <w:color w:val="auto"/>
        </w:rPr>
      </w:r>
      <w:r>
        <w:rPr>
          <w:color w:val="auto"/>
        </w:rPr>
      </w:r>
    </w:p>
    <w:p w14:paraId="60D3A1B1" w14:textId="77777777">
      <w:pPr>
        <w:pStyle w:val="1067"/>
        <w:pBdr/>
        <w:spacing w:after="0" w:before="0" w:line="360" w:lineRule="auto"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3" name="Изображение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Изображение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3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t xml:space="preserve">Рисунок 2 - вход в экосистему Zabbix</w:t>
      </w:r>
      <w:r>
        <w:rPr>
          <w:highlight w:val="none"/>
        </w:rPr>
      </w:r>
    </w:p>
    <w:p w14:paraId="3A8DAFE5">
      <w:pPr>
        <w:pStyle w:val="1067"/>
        <w:pBdr/>
        <w:spacing w:after="0" w:before="0" w:line="360" w:lineRule="auto"/>
        <w:ind w:firstLine="0"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2845B1E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6" w:name="_Toc2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3.4 Установка и настройка агента Zabbix на контролируемых узлах</w:t>
      </w:r>
      <w:bookmarkEnd w:id="6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6E4FE37B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688E3A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глубокого 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торинга операционных систем и прикладного ПО на контролируемые узлы устанавливается агент Zabbix. Классический Zabbix Agent обеспечивает широкий набор готовых проверок «из коробки» и поставляется в составе официального репозитория платформы Альт Сервер 10.</w:t>
      </w:r>
      <w:r/>
    </w:p>
    <w:p w14:paraId="5395C129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Установка агента на Linux-узлы под управлением Альт Сервер 10 (на примере srv-file-01):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0A78E92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</w:rPr>
        <w:t xml:space="preserve">apt-get install zabbix-agent -y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4B0CE1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Редактирование конфигурационного файла /etc/zabbix/zabbix_agentd.conf: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E9B50A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Server=192.168.100.1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8AE88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ServerActive=192.168.100.1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FAACA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EnableRemoteCommands=0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AE289B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Параметр Server задаёт IP-адрес сервера Zabbix, кото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рому разрешено опрашивать данный агент (пассивные проверки). ServerActive указывает сервер, к которому агент будет подключаться самостоятельно для отправки активных проверок. Hostname должен точно совпадать с именем хоста, заданным в веб-интерфейсе Zabbix.</w:t>
      </w:r>
      <w:r/>
    </w:p>
    <w:p w14:paraId="76443B2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Запуск агента и включение в автозагрузку:</w:t>
      </w:r>
      <w:r/>
    </w:p>
    <w:p w14:paraId="37A4E9E9" w14:textId="77777777">
      <w:pPr>
        <w:pStyle w:val="1067"/>
        <w:suppressLineNumbers w:val="false"/>
        <w:pBdr/>
        <w:spacing w:after="0" w:before="0" w:line="360" w:lineRule="auto"/>
        <w:ind w:firstLine="709" w:left="72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eastAsia="Times New Roman" w:cs="Times New Roman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  <w:highlight w:val="none"/>
        </w:rPr>
        <w:t xml:space="preserve">systemctl enable --now zabbix_agentd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315FD29" w14:textId="7D470235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установки и добавления узла в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Zabbix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доступность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загорится зелёным, что означает, что клиент присоединился, и работает, ка показано на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нке 3.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1D81A951" w14:textId="345EC1CD">
      <w:pPr>
        <w:pStyle w:val="1067"/>
        <w:pBdr/>
        <w:spacing w:after="0" w:before="0" w:line="360" w:lineRule="auto"/>
        <w:ind w:firstLine="864"/>
        <w:jc w:val="center"/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86175"/>
                <wp:effectExtent l="0" t="0" r="0" b="0"/>
                <wp:docPr id="4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43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600" cy="3686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0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3 - доступность узла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039E5707">
      <w:pPr>
        <w:pStyle w:val="1067"/>
        <w:pBdr/>
        <w:spacing w:after="0" w:before="0" w:line="360" w:lineRule="auto"/>
        <w:ind w:firstLine="864"/>
        <w:jc w:val="center"/>
        <w:rPr>
          <w:rFonts w:eastAsia="Times New Roman" w:cs="Times New Roman"/>
          <w:b w:val="0"/>
          <w:bCs w:val="0"/>
          <w:i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</w:rPr>
      </w:r>
    </w:p>
    <w:p w14:paraId="4AC2E1E7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7" w:name="_Toc3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3.5 Настройка мониторинга сетевого оборудования по SNMP</w:t>
      </w:r>
      <w:bookmarkEnd w:id="6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4EB5CA09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2BFDADD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организации мониторинга сетевого оборудования и серверов широко используется протокол SNMP (Simple Network Management Protocol). Данный протокол позволяет системе мониторинга получать информацию о состоянии устройства,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сетевых интерфейсах, загрузке процессора, использовании памяти и других параметрах. В рамках дипломного проекта SNMP был настроен на операционной системе ALT JeOS, выполняющей функции маршрутизатора, с последующим подключением к системе мониторинга Zabbix.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0C29B7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работы протокола SNMP в операционной системе ALT JeOS используется пакет net-snmp. Установка программного обеспечения выполнялась при помощи менеджера пакетов apt-get: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BD266ED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  <w:lang w:val="ru-RU"/>
        </w:rPr>
        <w:t xml:space="preserve">apt-get update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728E1637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  <w:lang w:val="ru-RU"/>
        </w:rPr>
        <w:t xml:space="preserve">apt-get install net-snmp net-snmp-utils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4C590BF7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установки в системе становится доступен демон snmpd, обеспечивающий обработку SNMP-запросов.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50CDED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SNMP-агента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824E28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Основной файл конфигурации SNMP расположен по пути: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BD4850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/etc/snmp/snmpd.conf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815D58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настройки доступа был изменён конфигурационный файл следующим образом: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6B58860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agentAddress udp:161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269639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rocommunity mypublic 192.168.100.1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E486E5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sysLocation ServerRoom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3460DD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sysContact admin@local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D2BF42A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sysName ALT-JEOS-Router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7781882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Параметр agentAddress udp:161 указывает SNMP-агенту прослушивать UDP-порт 161, используемый протоколом SNMP.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98E0D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Директива rocommunity задаёт community string mypublic и разрешает подключение только с IP-адреса сервера мониторинга 192.168.100.1.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5302093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Параметры sysLocation, sysContact и sysName содержат служебную информацию об устройстве.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F34DC5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внесения изменений служба SNMP была перезапущена: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F426111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systemctl restart snmpd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BEA995D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автоматического запуска службы после загрузки системы использовалась команда: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3D5BF1A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systemctl enable snmpd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628D6F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настройки SNMP устройство было добавлено в систему мониторинга Zabbix. В веб-интерфейсе Zabbix был создан новый хост с указанием следующих параметров: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4AAB9E1" w14:textId="77777777">
      <w:pPr>
        <w:pStyle w:val="1067"/>
        <w:numPr>
          <w:ilvl w:val="0"/>
          <w:numId w:val="2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тип интерфейса — SNMP;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C3A559F" w14:textId="77777777">
      <w:pPr>
        <w:pStyle w:val="1067"/>
        <w:numPr>
          <w:ilvl w:val="0"/>
          <w:numId w:val="2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IP-адрес устройства — 192.168.100.3;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8ADB3FC" w14:textId="77777777">
      <w:pPr>
        <w:pStyle w:val="1067"/>
        <w:numPr>
          <w:ilvl w:val="0"/>
          <w:numId w:val="2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порт — 161;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F54BFE1" w14:textId="77777777">
      <w:pPr>
        <w:pStyle w:val="1067"/>
        <w:numPr>
          <w:ilvl w:val="0"/>
          <w:numId w:val="2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версия SNMP — SNMPv2;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EB5FB50" w14:textId="77777777">
      <w:pPr>
        <w:pStyle w:val="1067"/>
        <w:numPr>
          <w:ilvl w:val="0"/>
          <w:numId w:val="2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community string — mypublic.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CE9A75B" w14:textId="47FEE578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Через несколько минут данный узел будет активен для мониторинга, как показано на рисунке 4.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F7C954B" w14:textId="4838C87A">
      <w:pPr>
        <w:pStyle w:val="1067"/>
        <w:pBdr/>
        <w:spacing w:after="0" w:before="0" w:line="360" w:lineRule="auto"/>
        <w:ind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5" name="Изображение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Изображение3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600" cy="3714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2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t xml:space="preserve">Рисунок 4 - активация узла</w:t>
      </w:r>
      <w:r/>
    </w:p>
    <w:p w14:paraId="2008BAB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автоматического сбора метрик был подключён шаблон Linux by SNMP.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BC233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подключения шаблона система мониторинга начала получать следующие параметры: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58F20A2F" w14:textId="77777777">
      <w:pPr>
        <w:pStyle w:val="1067"/>
        <w:numPr>
          <w:ilvl w:val="0"/>
          <w:numId w:val="1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загрузка процессора;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9918343" w14:textId="77777777">
      <w:pPr>
        <w:pStyle w:val="1067"/>
        <w:numPr>
          <w:ilvl w:val="0"/>
          <w:numId w:val="1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использование оперативной памяти;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E8B4FCD" w14:textId="77777777">
      <w:pPr>
        <w:pStyle w:val="1067"/>
        <w:numPr>
          <w:ilvl w:val="0"/>
          <w:numId w:val="1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сетевой трафик;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FD713A3" w14:textId="77777777">
      <w:pPr>
        <w:pStyle w:val="1067"/>
        <w:numPr>
          <w:ilvl w:val="0"/>
          <w:numId w:val="1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состояние сетевых интерфейсов;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C73560B" w14:textId="77777777">
      <w:pPr>
        <w:pStyle w:val="1067"/>
        <w:numPr>
          <w:ilvl w:val="0"/>
          <w:numId w:val="1"/>
        </w:numPr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время непрерывной работы системы.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9FB78F6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  <w:highlight w:val="none"/>
          <w:lang w:val="ru-RU" w:bidi="ru-RU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ABDA53C" w14:textId="77777777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color w:val="auto"/>
          <w:highlight w:val="none"/>
        </w:rPr>
      </w:pPr>
      <w:r/>
      <w:bookmarkStart w:id="68" w:name="_Toc3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3.6 Настройка триггеров и оповещений</w:t>
      </w:r>
      <w:bookmarkEnd w:id="68"/>
      <w:r>
        <w:rPr>
          <w:color w:val="auto"/>
        </w:rPr>
      </w:r>
      <w:r>
        <w:rPr>
          <w:color w:val="auto"/>
          <w:highlight w:val="none"/>
        </w:rPr>
      </w:r>
    </w:p>
    <w:p w14:paraId="098B42AF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left"/>
        <w:outlineLvl w:val="1"/>
        <w:rPr>
          <w:color w:val="auto"/>
        </w:rPr>
      </w:pPr>
      <w:r>
        <w:rPr>
          <w:color w:val="auto"/>
          <w:highlight w:val="none"/>
        </w:rPr>
      </w:r>
      <w:r>
        <w:rPr>
          <w:color w:val="auto"/>
          <w:highlight w:val="none"/>
        </w:rPr>
      </w:r>
      <w:r>
        <w:rPr>
          <w:color w:val="auto"/>
        </w:rPr>
      </w:r>
    </w:p>
    <w:p w14:paraId="014F55FE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Триггер в Zabbix — это логическое выражение, оценивающее собранные метрики и определяющее состояние «проблема / норма». Большинство необходимых триггеров уже описаны в стандартных шаблонах, однако при необходимости их можно создавать и вручную.</w:t>
      </w:r>
      <w:r>
        <w:rPr>
          <w:color w:val="auto"/>
        </w:rPr>
      </w:r>
      <w:r>
        <w:rPr>
          <w:color w:val="auto"/>
        </w:rPr>
      </w:r>
    </w:p>
    <w:p w14:paraId="69A162BA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email-уведомлений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10F4ED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организации автоматических уведомлений была настроена отправка сообщений через SMTP-сервер </w:t>
      </w:r>
      <w:hyperlink r:id="rId25" w:tooltip="https://mail.google.com/?utm_source=chatgpt.com" w:history="1">
        <w:r>
          <w:rPr>
            <w:rStyle w:val="1074"/>
            <w:rFonts w:eastAsia="Times New Roman" w:cs="Times New Roman"/>
            <w:color w:val="auto"/>
            <w:sz w:val="28"/>
            <w:szCs w:val="28"/>
            <w:u w:val="single"/>
            <w:lang w:val="ru-RU"/>
          </w:rPr>
          <w:t xml:space="preserve">Gmail</w:t>
        </w:r>
      </w:hyperlink>
      <w:r>
        <w:rPr>
          <w:rFonts w:eastAsia="Times New Roman" w:cs="Times New Roman"/>
          <w:color w:val="auto"/>
          <w:sz w:val="28"/>
          <w:szCs w:val="28"/>
          <w:u w:val="single"/>
          <w:lang w:val="ru-RU"/>
        </w:rPr>
        <w:t xml:space="preserve">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33FEBE" w14:textId="6A449A2B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 веб-интерфейсе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Zabbix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 был создан тип уведомлений «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Email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» со следующими параметрами на рисунке 5: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9BEFB1B" w14:textId="36F7FF16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2850"/>
                <wp:effectExtent l="0" t="0" r="0" b="0"/>
                <wp:docPr id="6" name="Изображение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Изображение4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600" cy="37528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95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t xml:space="preserve">Рисунок 5 - параметры почты</w:t>
      </w:r>
      <w:r/>
    </w:p>
    <w:p w14:paraId="4281DC0D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обеспечения безопасной аутентификации был создан отдельный пароль приложения Google, используемый вместо обычного пароля учетной записи.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AEAA1B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настройки SMTP была успешно выполнена тестовая отправка email-сообщения средствами Zabbix.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33AF56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действий и триггеров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CB9F486" w14:textId="3DDE6BBA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автоматической отправки уведомлений пользователю была создана операция (Action), связанная с возникновением событий мониторинга, показывающие на рисунке 6.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BE9039A" w14:textId="66226E3F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7" name="Изображение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Изображение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93.2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t xml:space="preserve">Рисунок 6 - триггер</w:t>
      </w:r>
      <w:r/>
    </w:p>
    <w:p w14:paraId="483DF13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Также был создан тестовый триггер для проверки механизма оповещений: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41AA0DB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last(/Zabbix server/system.uptime)&lt;999999999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1F07C82" w14:textId="6C8EE7A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Данный триггер гарантированно переходил в состояние PROBLEM, что позволяло проверить корректность формирования уведомлений, изображенной на рисунке 7.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0E3FE3D" w14:textId="700AD0D4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2850"/>
                <wp:effectExtent l="0" t="0" r="0" b="0"/>
                <wp:docPr id="8" name="Изображение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Изображение6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600" cy="37528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95.5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t xml:space="preserve">Рисунок 7 - Обнаружение проблемы</w:t>
      </w:r>
      <w:r/>
    </w:p>
    <w:p w14:paraId="4EFD2C0D" w14:textId="6646E9EA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срабатывания триггера система успешно отправила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email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-уведомление администратору, на рисунке 8 показана почта с уведомлением и кодом ошибки.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4CE0A41" w14:textId="77777777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09850" cy="3578860"/>
                <wp:effectExtent l="0" t="0" r="0" b="0"/>
                <wp:docPr id="9" name="Изображение7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Изображение7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609850" cy="35788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05.50pt;height:281.8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11A3813B" w14:textId="798E3E8E">
      <w:pPr>
        <w:pStyle w:val="1067"/>
        <w:pBdr/>
        <w:spacing w:after="0" w:before="0" w:line="360" w:lineRule="auto"/>
        <w:ind w:firstLine="0"/>
        <w:jc w:val="center"/>
        <w:rPr/>
      </w:pPr>
      <w:r>
        <w:t xml:space="preserve">Рисунок 8 - почта</w:t>
      </w:r>
      <w:r/>
    </w:p>
    <w:p w14:paraId="77007849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9" w:name="_Toc3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3.7 Проверка работоспособности системы</w:t>
      </w:r>
      <w:bookmarkEnd w:id="6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47882E55">
      <w:pPr>
        <w:pStyle w:val="1069"/>
        <w:suppressLineNumbers w:val="false"/>
        <w:pBdr/>
        <w:spacing w:after="0" w:before="0" w:line="360" w:lineRule="auto"/>
        <w:ind w:firstLine="709"/>
        <w:jc w:val="both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7EA4DDEE" w14:textId="51317570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завершения настройки была проведена комплексная проверка работоспособности системы мониторинга по нескольким сценариям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на рисунках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9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10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показана загруженность процессора на сервере и клиенте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.</w:t>
      </w:r>
      <w:r/>
    </w:p>
    <w:p w14:paraId="238B99C7" w14:textId="284C3B35">
      <w:pPr>
        <w:pStyle w:val="1067"/>
        <w:suppressLineNumbers w:val="false"/>
        <w:pBdr/>
        <w:spacing w:after="0" w:before="0" w:line="360" w:lineRule="auto"/>
        <w:ind w:firstLine="0"/>
        <w:jc w:val="center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1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44480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93.2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9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- нагрузка сервера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3433B86B" w14:textId="5A83673D">
      <w:pPr>
        <w:pStyle w:val="1067"/>
        <w:pBdr/>
        <w:spacing w:after="60" w:before="0" w:line="360" w:lineRule="auto"/>
        <w:ind w:firstLine="0"/>
        <w:jc w:val="center"/>
        <w:rPr>
          <w:iCs w:val="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79592" cy="3724275"/>
                <wp:effectExtent l="0" t="0" r="0" b="0"/>
                <wp:docPr id="1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9605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579592" cy="3724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9.34pt;height:293.2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iCs w:val="0"/>
        </w:rPr>
      </w:r>
    </w:p>
    <w:p w14:paraId="686D23AF">
      <w:pPr>
        <w:pStyle w:val="1067"/>
        <w:pBdr/>
        <w:spacing w:after="60" w:before="0" w:line="360" w:lineRule="auto"/>
        <w:ind w:firstLine="0"/>
        <w:jc w:val="center"/>
        <w:rPr>
          <w:rFonts w:eastAsia="Times New Roman" w:cs="Times New Roman"/>
          <w:b w:val="0"/>
          <w:bCs w:val="0"/>
          <w:i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10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- нагрузка клиента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</w:rPr>
      </w:r>
    </w:p>
    <w:p w14:paraId="45CF15F0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1. Контроль состояния агентов. В разделе «Мониторинг → Узлы сети» все добавленные узлы (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srv-zabbix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, cli-lin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ux-01, gw-router-01) о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тображались с активным статусом — индикаторы доступности агента и SNMP были зелёными. В колонке «Последний контакт» отображалось актуальное время сбора данных (расхождение с текущим временем не превышало интервала опроса в 60 секунд), ранее уже показанной.</w:t>
      </w:r>
      <w:r>
        <w:rPr>
          <w:color w:val="auto"/>
        </w:rPr>
      </w:r>
      <w:r>
        <w:rPr>
          <w:color w:val="auto"/>
        </w:rPr>
      </w:r>
    </w:p>
    <w:p w14:paraId="18EBE73A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ерка 2. Имитация отказа узла. Для проверки корректности срабатывания триггеров было выполнено отключение виртуальной машины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cli-linux-01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. Спустя 60 секунд (длительность интервала проверки доступности) Zabbix зафиксировал отсутствие отклика и в разделе «Мони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торинг → Проблемы» появилась запись с уровнем «Высокий» — «Zabbix agent is not available on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cli-linux-01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». После повторного включения виртуальной машины статус автоматически восстановился, а в журнале проблем была проставлена отметка о завершении инцидента, показана на рисунке 11.</w:t>
      </w:r>
      <w:r>
        <w:rPr>
          <w:highlight w:val="none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56918548">
      <w:pPr>
        <w:pStyle w:val="1067"/>
        <w:suppressLineNumbers w:val="false"/>
        <w:pBdr/>
        <w:spacing w:after="0" w:before="0" w:line="360" w:lineRule="auto"/>
        <w:ind w:firstLine="0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81819" cy="309483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38132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081819" cy="3094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78.88pt;height:243.69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highlight w:val="none"/>
        </w:rPr>
      </w:r>
    </w:p>
    <w:p w14:paraId="53E54DB9">
      <w:pPr>
        <w:pStyle w:val="1067"/>
        <w:pBdr/>
        <w:spacing w:after="0" w:before="0" w:line="360" w:lineRule="auto"/>
        <w:ind w:firstLine="864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Рисунок 11 -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  <w:lang w:val="ru-RU"/>
        </w:rPr>
        <w:t xml:space="preserve">проблемы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highlight w:val="none"/>
        </w:rPr>
      </w:r>
    </w:p>
    <w:p w14:paraId="131A0E8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3. Контроль производительности. На сервере был искусственно создан стресс-тест ЦП с помощью утилиты stress-ng. Метрики загрузки процессора, отображаемые в Zabbix, выросли с 5–7% до 95–100%, изображено на рисунке 12.</w:t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63C6A4EB">
      <w:pPr>
        <w:pStyle w:val="1067"/>
        <w:suppressLineNumbers w:val="false"/>
        <w:pBdr/>
        <w:spacing w:after="0" w:before="0" w:line="360" w:lineRule="auto"/>
        <w:ind w:firstLine="0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61262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0939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5612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441.94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124775E5">
      <w:pPr>
        <w:pStyle w:val="1067"/>
        <w:pBdr/>
        <w:spacing w:after="0" w:before="0" w:line="360" w:lineRule="auto"/>
        <w:ind w:firstLine="864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Рисунок 12 – нагрузка процессора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highlight w:val="none"/>
        </w:rPr>
      </w:r>
    </w:p>
    <w:p w14:paraId="46CA134E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4. Мониторинг сетевого оборудования. По SNMP-данным с коммутатор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а sw-core-01 успешно собирались следующие метрики: статус каждого физического порта (Up/Down), скорость подключения и режим (full duplex / half duplex), счётчики входящего и исходящего трафика в битах в секунду, количество ошибок CRC и отброшенных пакетов.</w:t>
      </w:r>
      <w:r>
        <w:rPr>
          <w:highlight w:val="none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7752258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5. Визуализация. В разделе «Мониторинг → Панели» был создан сводный дашборд, отображающий ключевые метрики стенда: текущее количество активных проблем, состояние всех узлов, графики з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агрузки CPU и оперативной па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мяти сервера и рабочей станции, диаграмму утилизации основных сетевых интерфейсов коммутатора. Дашборд автоматически обновлялся каждые 30 секунд и обеспечивал наглядное представление состояния всей контролируемой инфраструктуры, изображённой на рисунке 13.</w:t>
      </w:r>
      <w:r>
        <w:rPr>
          <w:highlight w:val="none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64E7FB85">
      <w:pPr>
        <w:pStyle w:val="1067"/>
        <w:pBdr/>
        <w:spacing w:after="0" w:before="0" w:line="360" w:lineRule="auto"/>
        <w:ind w:firstLine="0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2514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7084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42251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332.69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5101CB3F">
      <w:pPr>
        <w:pStyle w:val="1067"/>
        <w:pBdr/>
        <w:spacing w:after="0" w:before="0" w:line="360" w:lineRule="auto"/>
        <w:ind w:firstLine="0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Рисунок 13 - дашборд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highlight w:val="none"/>
        </w:rPr>
      </w:r>
    </w:p>
    <w:p w14:paraId="37661B0B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Проведённые проверки подтвердили, что развёрнутая система мониторинга на базе Zabbi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x полностью функциональна: корректно собирает данные с разнородных узлов, своевременно фиксирует отклонения от нормы, отправляет уведомления и наглядно отображает текущее состояние ЛВС. Цели практической части дипломного проекта достигнуты в полном объёме.</w:t>
      </w:r>
      <w:r>
        <w:rPr>
          <w:highlight w:val="none"/>
        </w:rPr>
      </w:r>
      <w:r>
        <w:rPr>
          <w:highlight w:val="none"/>
        </w:rPr>
      </w:r>
    </w:p>
    <w:p w14:paraId="62EBF3C5" w14:textId="77777777">
      <w:pPr>
        <w:pStyle w:val="1067"/>
        <w:pBdr/>
        <w:spacing/>
        <w:ind/>
        <w:rPr/>
      </w:pPr>
      <w:r>
        <w:br w:type="page" w:clear="all"/>
      </w:r>
      <w:r/>
    </w:p>
    <w:p w14:paraId="6D98A12B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22925C5E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0" w:name="_Toc3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4. ЭКОНОМИЧЕСКОЕ ОБОСНОВАНИЕ ПРОЕКТА</w:t>
      </w:r>
      <w:bookmarkEnd w:id="7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2B71DD1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7732E33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1" w:name="_Toc3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4.1 Состав затрат на внедрение системы мониторинга</w:t>
      </w:r>
      <w:bookmarkEnd w:id="7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90B4CBE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4CD0D3F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 оценке экономической составляющей проекта внедрения системы мониторинга необходимо учитывать все статьи затрат, возникающих на этапе развёртывания. По условия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 работы стоимость серверной аппаратной платформы в расчёт не включается, поскольку под систему мониторинга используется уже имеющееся у организации оборудование (или арендуемая виртуальная машина, расходы на которую учитываются в общей IT-инфраструктуре).</w:t>
      </w:r>
      <w:r/>
    </w:p>
    <w:p w14:paraId="08E07FB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программные компоненты, используемые в проекте, относятся к свободному программному обеспечению и распространяются бесплатно: операционная система Альт Сер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вер 10 поставляется ООО «Базальт СПО» по свободной лицензии (большинство пакетов — GNU GPL и сопутствующие свободные лицензии) и входит в Единый реестр российского ПО Минцифры России, СУБД PostgreSQL — по собственной свободной лицензии PostgreSQL License,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веб-сервер Apache HTTP Server — по лицензии Apache 2.0, сама система Zabbix Server (включая Zabbix Agent и стандартные шаблоны) — по лицензии GNU GPL v2. Таким образом, расходы на приобретение программного обеспечения отсутствуют — стоимость ПО равна нулю.</w:t>
      </w:r>
      <w:r/>
    </w:p>
    <w:p w14:paraId="784A0921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Основной статьёй затрат становится оплата труда специалиста, выполняющего работы по установке, настройке и тестированию системы. Для расчёта принята условная стоимость часа работы системного администратора в размере 1500 рублей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что соответствует средней рыночной ставке для специалистов начального уровня в Новосибирском регионе по состоянию на 2026 год. Общий объём трудозатрат на полный цикл внедрения системы на описанный в главе 3 тестовый стенд оценивается в 20 человеко-часов.</w:t>
      </w:r>
      <w:r/>
    </w:p>
    <w:p w14:paraId="2A40C9EC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ru-RU"/>
        </w:rPr>
        <w:t xml:space="preserve">Была подсчитана примерная стоимость сервера на базе системы Zabbix для малого бизнеса. Сам сервер можно купить в магазине или на интернет-площадках по продаже техники. Для среднего и крупного бизнеса понадобится более надежное оборудование.</w:t>
      </w:r>
      <w:r>
        <w:rPr>
          <w:color w:val="auto"/>
        </w:rPr>
      </w:r>
      <w:r>
        <w:rPr>
          <w:color w:val="auto"/>
        </w:rPr>
      </w:r>
    </w:p>
    <w:p w14:paraId="55BAC964" w14:textId="77777777">
      <w:pPr>
        <w:pStyle w:val="1067"/>
        <w:suppressLineNumbers w:val="false"/>
        <w:pBdr/>
        <w:spacing w:line="360" w:lineRule="auto"/>
        <w:ind w:firstLine="709"/>
        <w:jc w:val="both"/>
        <w:rPr>
          <w:highlight w:val="none"/>
        </w:rPr>
      </w:pPr>
      <w:r>
        <w:rPr>
          <w:highlight w:val="none"/>
          <w:lang w:val="ru-RU"/>
        </w:rPr>
        <w:t xml:space="preserve">Подбор конфигурации оборудования выполнен с учетом минимальных системных требований для стабильной работы виртуальных машин и сервисов мониторинга. В качестве операционных систем используются решения семейства «Альт», такие как ALT Server, ALT   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</w:rPr>
        <w:t xml:space="preserve">Workstation, ALT Je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  <w:highlight w:val="none"/>
          <w:lang w:val="en-US"/>
        </w:rPr>
        <w:t xml:space="preserve">OS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E0C4875">
      <w:pPr>
        <w:pStyle w:val="1067"/>
        <w:suppressLineNumbers w:val="false"/>
        <w:pBdr/>
        <w:spacing w:line="360" w:lineRule="auto"/>
        <w:ind w:firstLine="709"/>
        <w:jc w:val="both"/>
        <w:rPr>
          <w:highlight w:val="yellow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yellow"/>
        </w:rPr>
      </w:r>
    </w:p>
    <w:p w14:paraId="547F2BF7" w14:textId="77777777">
      <w:pPr>
        <w:pStyle w:val="1069"/>
        <w:suppressLineNumbers w:val="false"/>
        <w:pBdr/>
        <w:spacing w:after="0" w:before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2" w:name="_Toc3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4.2 Расчёт стоимости внедрения</w:t>
      </w:r>
      <w:bookmarkEnd w:id="7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FB6A92C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F366F54" w14:textId="65BFD2D5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Стоимость оборудования и сводный расчёт затрат на внедрение системы мониторинга в рамках дипломного проекта представлен в таблицах 3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 и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4.</w:t>
      </w:r>
      <w:r>
        <w:rPr>
          <w:highlight w:val="none"/>
        </w:rPr>
      </w:r>
      <w:r>
        <w:rPr>
          <w:highlight w:val="none"/>
        </w:rPr>
      </w:r>
    </w:p>
    <w:p w14:paraId="49DD7946" w14:textId="77777777">
      <w:pPr>
        <w:pStyle w:val="1067"/>
        <w:pBdr/>
        <w:spacing w:after="0" w:afterAutospacing="0" w:before="0" w:beforeAutospacing="0" w:line="360" w:lineRule="auto"/>
        <w:ind/>
        <w:jc w:val="right"/>
        <w:rPr/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Таблица 3 </w:t>
      </w:r>
      <w:r/>
    </w:p>
    <w:p w14:paraId="68B980D3" w14:textId="77777777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Стоимость оборудования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tbl>
      <w:tblPr>
        <w:tblStyle w:val="1107"/>
        <w:jc w:val="center"/>
        <w:tblInd w:w="0" w:type="dxa"/>
        <w:tblW w:w="9465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6A0" w:firstRow="1" w:lastRow="0" w:firstColumn="1" w:lastColumn="0" w:noHBand="1" w:noVBand="1"/>
      </w:tblPr>
      <w:tblGrid>
        <w:gridCol w:w="554"/>
        <w:gridCol w:w="1816"/>
        <w:gridCol w:w="1633"/>
        <w:gridCol w:w="1337"/>
        <w:gridCol w:w="1878"/>
        <w:gridCol w:w="792"/>
        <w:gridCol w:w="1454"/>
      </w:tblGrid>
      <w:tr>
        <w:trPr>
          <w:trHeight w:val="300"/>
        </w:trPr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554" w:type="dxa"/>
            <w:vAlign w:val="center"/>
          </w:tcPr>
          <w:p w14:paraId="27C493C2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16" w:type="dxa"/>
            <w:vAlign w:val="center"/>
          </w:tcPr>
          <w:p w14:paraId="1B48DC75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Наименование узла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633" w:type="dxa"/>
            <w:vAlign w:val="center"/>
          </w:tcPr>
          <w:p w14:paraId="6F9F3509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Назначение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337" w:type="dxa"/>
            <w:vAlign w:val="center"/>
          </w:tcPr>
          <w:p w14:paraId="3C54C72B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Операционная система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78" w:type="dxa"/>
            <w:vAlign w:val="center"/>
          </w:tcPr>
          <w:p w14:paraId="6185B2E0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Технические характеристики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792" w:type="dxa"/>
            <w:vAlign w:val="center"/>
          </w:tcPr>
          <w:p w14:paraId="4F18EDEB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Количество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454" w:type="dxa"/>
            <w:vAlign w:val="center"/>
          </w:tcPr>
          <w:p w14:paraId="0AEA12B3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Примерная стоимость, ₽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554" w:type="dxa"/>
            <w:vAlign w:val="center"/>
          </w:tcPr>
          <w:p w14:paraId="56B20A0C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16" w:type="dxa"/>
            <w:vAlign w:val="center"/>
          </w:tcPr>
          <w:p w14:paraId="50BC99BF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srv-zabbix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633" w:type="dxa"/>
            <w:vAlign w:val="center"/>
          </w:tcPr>
          <w:p w14:paraId="2D41B7E5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Сервер мониторинга Zabbix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337" w:type="dxa"/>
            <w:vAlign w:val="center"/>
          </w:tcPr>
          <w:p w14:paraId="538B9C47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Альт Сервер 10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78" w:type="dxa"/>
            <w:vAlign w:val="center"/>
          </w:tcPr>
          <w:p w14:paraId="421ABF93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 vCPU, 4 ГБ ОЗУ, HDD 100 ГБ, IP: 192.168.100.1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792" w:type="dxa"/>
            <w:vAlign w:val="center"/>
          </w:tcPr>
          <w:p w14:paraId="249FAAB8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454" w:type="dxa"/>
            <w:vAlign w:val="center"/>
          </w:tcPr>
          <w:p w14:paraId="1129AE4B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30 000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 w14:paraId="3FE9F23F" w14:textId="77777777">
      <w:pPr>
        <w:pStyle w:val="1067"/>
        <w:pBdr/>
        <w:spacing w:after="0" w:before="0"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542D1D9D" w14:textId="77777777">
      <w:pPr>
        <w:pStyle w:val="1067"/>
        <w:pBdr/>
        <w:spacing w:after="0" w:afterAutospacing="0" w:before="0" w:beforeAutospacing="0" w:line="360" w:lineRule="auto"/>
        <w:ind/>
        <w:jc w:val="right"/>
        <w:rPr/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Таблица 4 </w:t>
      </w:r>
      <w:r/>
    </w:p>
    <w:p w14:paraId="7640F168" w14:textId="77777777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i w:val="0"/>
          <w:iCs w:val="0"/>
          <w:sz w:val="28"/>
          <w:szCs w:val="28"/>
        </w:rPr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Расчёт затрат на внедрение системы мониторинга</w:t>
      </w:r>
      <w:r>
        <w:rPr>
          <w:rFonts w:eastAsia="Times New Roman" w:cs="Times New Roman"/>
          <w:i w:val="0"/>
          <w:iCs w:val="0"/>
          <w:sz w:val="28"/>
          <w:szCs w:val="28"/>
        </w:rPr>
      </w:r>
      <w:r>
        <w:rPr>
          <w:rFonts w:eastAsia="Times New Roman" w:cs="Times New Roman"/>
          <w:i w:val="0"/>
          <w:iCs w:val="0"/>
          <w:sz w:val="28"/>
          <w:szCs w:val="28"/>
        </w:rPr>
      </w:r>
    </w:p>
    <w:tbl>
      <w:tblPr>
        <w:tblInd w:w="0" w:type="dxa"/>
        <w:tblW w:w="9355" w:type="dxa"/>
        <w:tblCellMar>
          <w:left w:w="120" w:type="dxa"/>
          <w:top w:w="80" w:type="dxa"/>
          <w:right w:w="12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597"/>
        <w:gridCol w:w="4258"/>
        <w:gridCol w:w="1497"/>
        <w:gridCol w:w="1503"/>
        <w:gridCol w:w="1500"/>
      </w:tblGrid>
      <w:tr>
        <w:trPr>
          <w:tblHeader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C66B0F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ACEA8F8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Статья затрат</w:t>
            </w: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030E82D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Стоимость, руб.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5A843AD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Часы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712EF402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Итого, руб.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9F14E3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1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0F7B84D6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ОС Альт Сервер 10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B584315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r>
            <w:r>
              <w:rPr>
                <w:rFonts w:eastAsia="Times New Roman" w:cs="Times New Roman"/>
                <w:b w:val="0"/>
                <w:bCs w:val="0"/>
                <w:i w:val="0"/>
                <w:iCs w:val="0"/>
                <w:sz w:val="22"/>
                <w:szCs w:val="22"/>
                <w:highlight w:val="none"/>
              </w:rPr>
              <w:t xml:space="preserve">5200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D366E0F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—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2322F00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0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144751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71AAC69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СУБД PostgreSQL 14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7B7EFE02" w14:textId="77777777">
            <w:pPr>
              <w:pStyle w:val="1067"/>
              <w:pBdr/>
              <w:spacing w:line="240" w:lineRule="auto"/>
              <w:ind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1230D8B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3311358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0B778152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5EA4C0A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Веб-сервер Apache2 + PHP 8.1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31F93F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170B06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213FF8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598DEE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12A28385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Zabbix Server 6.4 (GPL)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70D6AA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63E8E420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5F7728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8941E47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5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4EB3B74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Zabbix Agent (GPL)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D22F59A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47B92CD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56C6262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9B4EA1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6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193A2B74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ОС и базовая настройка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D06F01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A036E3D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6D59599C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5697EE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7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14DAE7D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и настройка СУБД, импорт схемы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9136A0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8E884CA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2A29CAB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3000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4B0A208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8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B0C8624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и настройка Zabbix Server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A2DD6E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68D9363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7AAD18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B2B730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9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0E908E8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агентов на контролируемые узлы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18181B3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842F59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4CB11FA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3000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5D36975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F19B0E2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настройка SNMP-мониторинга сетевого оборудования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07AA87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57AB7477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4F0D071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737E36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4AB66D5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настройка триггеров, оповещений, дашбордов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9A5A8A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79935FF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70068ADB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6000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B73E58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0E9E0233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тестирование, оформление документации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2C0D9A18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97C039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691C212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>
          <w:trHeight w:val="467"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F72F646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  <w:sz w:val="22"/>
                <w:szCs w:val="22"/>
              </w:rPr>
            </w:pPr>
            <w:r>
              <w:rPr>
                <w:color w:val="auto"/>
                <w:sz w:val="22"/>
                <w:szCs w:val="22"/>
              </w:rPr>
            </w:r>
            <w:r>
              <w:rPr>
                <w:color w:val="auto"/>
                <w:sz w:val="22"/>
                <w:szCs w:val="22"/>
              </w:rPr>
            </w:r>
            <w:r>
              <w:rPr>
                <w:color w:val="auto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5C3946C" w14:textId="77777777">
            <w:pPr>
              <w:pStyle w:val="1067"/>
              <w:pBdr/>
              <w:spacing w:line="240" w:lineRule="auto"/>
              <w:ind/>
              <w:jc w:val="right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ИТОГО (стоимость вместе с оборудованием)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0852A8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08CE6F9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37E0DB31" w14:textId="77777777">
            <w:pPr>
              <w:pStyle w:val="1067"/>
              <w:pBdr/>
              <w:spacing/>
              <w:ind/>
              <w:rPr/>
            </w:pPr>
            <w:r>
              <w:t xml:space="preserve">6</w:t>
            </w:r>
            <w:r>
              <w:rPr>
                <w:lang w:val="en-US"/>
              </w:rPr>
              <w:t xml:space="preserve">5</w:t>
            </w:r>
            <w:r>
              <w:rPr>
                <w:lang w:val="en-US"/>
              </w:rPr>
              <w:t xml:space="preserve">2</w:t>
            </w:r>
            <w:r>
              <w:t xml:space="preserve">00</w:t>
            </w:r>
            <w:r/>
          </w:p>
        </w:tc>
      </w:tr>
    </w:tbl>
    <w:p w14:paraId="61CDCEAD" w14:textId="77777777">
      <w:pPr>
        <w:pStyle w:val="1067"/>
        <w:pBdr/>
        <w:spacing w:after="0" w:afterAutospacing="0" w:before="0" w:beforeAutospacing="0" w:line="360" w:lineRule="auto"/>
        <w:ind/>
        <w:jc w:val="right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6BB9E253" w14:textId="77777777">
      <w:pPr>
        <w:pStyle w:val="1067"/>
        <w:pBdr/>
        <w:spacing w:after="0" w:before="0" w:line="360" w:lineRule="auto"/>
        <w:ind w:firstLine="864" w:left="0"/>
        <w:jc w:val="left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71D6639C" w14:textId="77777777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highlight w:val="none"/>
          <w:u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Из приведённого расчёта следует, что общая стоимость внедрения системы мониторинга на тестовую инфраструктуру составила 6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5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2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00 рублей. Эта сумма скл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адывается полностью из затрат на оплату труда специалиста, поскольку всё используемое программное обеспечение является бесплатным, кроме Альт Сервер 10, если нужно приобрести для компании. Альт Сервер (базовая версия): Подписка на 1 год обойдется примерно </w:t>
      </w:r>
      <w:bookmarkStart w:id="37" w:name="_Int_MujA9stW"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5200–6500 р</w:t>
      </w:r>
      <w:bookmarkEnd w:id="37"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ублей. Бессрочные лицензии стоят дороже и зависят от платформы. </w:t>
      </w:r>
      <w:r>
        <w:rPr>
          <w:rFonts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  <w:t xml:space="preserve">Альт Сервер Виртуализации: Специализированная редакция для развертывания виртуальных сред (включает встроенный инструментарий управления). Стоимость лицензий составляет от 15000 до 30000 рублей (в зависимости от поставщика).</w:t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highlight w:val="none"/>
          <w:u w:val="none"/>
          <w:lang w:val="ru-RU"/>
        </w:rPr>
      </w:r>
    </w:p>
    <w:p w14:paraId="1EB4F413">
      <w:pPr>
        <w:pStyle w:val="1067"/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highlight w:val="none"/>
          <w:u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highlight w:val="none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44A3A580" w14:textId="77777777">
      <w:pPr>
        <w:pStyle w:val="1069"/>
        <w:suppressLineNumbers w:val="false"/>
        <w:pBdr/>
        <w:spacing w:after="0" w:before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3" w:name="_Toc3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4.3 Оценка экономической эффективности</w:t>
      </w:r>
      <w:bookmarkEnd w:id="7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5A75ADE7">
      <w:pPr>
        <w:pStyle w:val="1069"/>
        <w:suppressLineNumbers w:val="false"/>
        <w:pBdr/>
        <w:spacing w:after="0" w:afterLines="0" w:before="0" w:beforeLines="0" w:line="360" w:lineRule="auto"/>
        <w:ind w:firstLine="709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DB3F8CA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оценки экономической эффективности проекта рассмотрим типовой сценарий: средний простой одного сервера на предприятии без системы мониторинга составляет 2–4 часа на инцидент за счёт времени, необходимого для самостоятельного обнаружен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ия проблемы пользователями, обращения в IT-службу, диагностики и устранения. При наличии системы мониторинга, оперативно отправляющей уведомления, время реакции сокращается до 5–15 минут, а время устранения — за счёт более точной первичной диагностики на 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сновани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 метрик.</w:t>
      </w:r>
      <w:r/>
    </w:p>
    <w:p w14:paraId="654A5323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Если принять, что средняя стоимость одного часа простоя для небольшой организации достаточно велика (длительность сотрудник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ов, отложенные операции, репутационные риски), то даже один предотвращённый инцидент в год полностью окупает затраты на внедрение системы мониторинга. При типовой частоте инцидентов от 2 до 6 в год экономический эффект от внедрения становится существенным.</w:t>
      </w:r>
      <w:r>
        <w:rPr>
          <w:color w:val="auto"/>
        </w:rPr>
      </w:r>
      <w:r>
        <w:rPr>
          <w:color w:val="auto"/>
        </w:rPr>
      </w:r>
    </w:p>
    <w:p w14:paraId="653765B8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Дополнительный, не денежный эффект внедрения системы мониторинга — переход IT-подразделения от реактивной модели работы (устранение уже случившихся проблем) к про активной (предотвращение инцидентов на основании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трендов метрик), повышение прозрачности работы IT, рост удовлетворённости пользователей качеством сервиса. Указанные эффекты сложно выразить в денежном эквиваленте, однако они представляют значительную ценность для организации в долгосрочной перспективе. </w:t>
      </w:r>
      <w:r/>
    </w:p>
    <w:p w14:paraId="23DE523C" w14:textId="77777777">
      <w:pPr>
        <w:pStyle w:val="1067"/>
        <w:pBdr/>
        <w:spacing/>
        <w:ind/>
        <w:rPr/>
      </w:pPr>
      <w:r>
        <w:br w:type="page" w:clear="all"/>
      </w:r>
      <w:r/>
    </w:p>
    <w:p w14:paraId="52E56223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07547A01" w14:textId="77777777">
      <w:pPr>
        <w:pStyle w:val="1067"/>
        <w:pBdr/>
        <w:spacing/>
        <w:ind/>
        <w:rPr/>
      </w:pPr>
      <w:r/>
      <w:r/>
    </w:p>
    <w:p w14:paraId="557536F4" w14:textId="77777777">
      <w:pPr>
        <w:pStyle w:val="1068"/>
        <w:suppressLineNumbers w:val="false"/>
        <w:pBdr/>
        <w:tabs>
          <w:tab w:val="left" w:leader="none" w:pos="5950"/>
        </w:tabs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4" w:name="_Toc3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ЗАКЛЮЧЕНИЕ</w:t>
      </w:r>
      <w:bookmarkEnd w:id="7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CBADD35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рамках дипломной работы на те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му «Мониторинг локально-вычислительной сети» был выполнен комплекс работ, направленный на изучение, сравнительный анализ и практическую реализацию системы мониторинга ЛВС. Все поставленные во введении задачи были успешно решены, а цель работы — достигнута.</w:t>
      </w:r>
      <w:r/>
    </w:p>
    <w:p w14:paraId="076D5F07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первой главе рассмотрены теоретические основы организации и мониторинга локальной вычислительной сети: дано определение ЛВС, описаны её физические и логические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компоненты, проанализирована типичная архитектура современной корпоративной сети, рассмотрено программное обеспечение серверной и клиентской частей. Особое внимание уделено понятию системы мониторинга, её функциональным компонентам и методам сбора данных.</w:t>
      </w:r>
      <w:r/>
    </w:p>
    <w:p w14:paraId="2240D246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Во второй главе был проведён обзор современных программных решений для мониторинга ЛВС. Рассмотрены три категории систем: свободно распространяе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мые (Zabbix, Nagios/Icinga 2, Prometheus + Grafana, LibreNMS, Cacti), проприетарные корпоративные продукты (PRTG, SolarWinds NPM, Checkmk, Microsoft SCOM) и облачные SaaS-решения (Datadog, Auvik). Разработаны десять критериев объективной оценки систем 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торинга, на основании которых построена сравнительная таблица. По результатам анализа в качестве оптимального решения для практической реализации выбрана платформа Zabbix — бесплатная, функционально насыщенная и хорошо локализованная для российского рынка.</w:t>
      </w:r>
      <w:r/>
    </w:p>
    <w:p w14:paraId="765233EB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третьей главе описана практическая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реализация системы мониторинга на тестовой инфраструктуре, имитирующей ЛВС небольшого предприятия. Подробно изложена последовательность действий: подготовка отечественной операционной системы Альт Сервер 10, установка и настройка СУБД PostgreSQL, развёртыв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ание веб-сервера Apache HTTP Server (httpd2) с интерпретатором PHP, установка сервера Zabbix 6.x и веб-интерфейса, подключение агентов к контролируемым узлам (Linux-серверу и Linux-рабочей станции), настройка SNMP-мониторинга сетевого оборудования (коммута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тора и маршрутизатора), конфигурирование триггеров и системы оповещений. Проведено комплексное тестирование работоспособности системы по пяти сценариям: контроль состояния агентов, имитация отказа узла с проверкой срабатывания триггера и доставки уведомлен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ий, контроль производительности при стресс-тестировании, мониторинг сетевого оборудования по SNMP, проверка визуализации. Все сценарии тестирования отработали корректно — система функционирует в соответствии с требованиями.</w:t>
      </w:r>
      <w:r/>
    </w:p>
    <w:p w14:paraId="20F5656F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четвёртой главе выполнено экономическое обоснование проекта, а также сделан вывод, что при небольших затратах и времени можно сделать работающий сервер. </w:t>
      </w:r>
      <w:r>
        <w:rPr>
          <w:color w:val="auto"/>
        </w:rPr>
      </w:r>
      <w:r>
        <w:rPr>
          <w:color w:val="auto"/>
        </w:rPr>
      </w:r>
    </w:p>
    <w:p w14:paraId="62712F64" w14:textId="77777777">
      <w:pPr>
        <w:pStyle w:val="1067"/>
        <w:suppressLineNumbers w:val="false"/>
        <w:pBdr/>
        <w:spacing w:after="0" w:before="0" w:line="360" w:lineRule="auto"/>
        <w:ind w:firstLine="709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Практическая значимость работы заключается в том, что полученный опыт развёртывания, а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также подготовленные конфигурационные файлы и шаблоны могут быть непосредственно использованы при внедрении системы мониторинга в реальной организации малого или среднего масштаба. Перспективы дальнейшего развития проекта связаны с интеграцией системы мони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торинга со службой Service Desk, добавлением модулей анализа NetFlow-трафика, развёртыванием Zabbix-прокси для географически распределённых филиалов, а также внедрением средств машинного обучения для прогнозирования аномалий на основе исторических метрик.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043CB0F" w14:textId="77777777">
      <w:pPr>
        <w:pStyle w:val="1067"/>
        <w:pBdr/>
        <w:spacing/>
        <w:ind/>
        <w:rPr/>
      </w:pPr>
      <w:r>
        <w:br w:type="page" w:clear="all"/>
      </w:r>
      <w:r/>
    </w:p>
    <w:p w14:paraId="07459315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8A50F17" w14:textId="77777777">
      <w:pPr>
        <w:pStyle w:val="1068"/>
        <w:suppressLineNumbers w:val="false"/>
        <w:pBdr/>
        <w:tabs>
          <w:tab w:val="left" w:leader="none" w:pos="8364"/>
        </w:tabs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5" w:name="_Toc3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СПИСОК ИСПОЛЬЗОВАННЫХ ИСТОЧНИКОВ</w:t>
      </w:r>
      <w:bookmarkEnd w:id="7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CC50616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1. Олифер В. Г., Олифер Н. А. Компьютерные сети. Принципы, технологии, протоколы: учебник для вузов. – 6-е изд. – СПб: Питер, 2020. – 1008 с. – ISBN 978-5-4461-1426-9.</w:t>
      </w:r>
      <w:r/>
    </w:p>
    <w:p w14:paraId="510308E1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2. Таненбаум Э., Уэзеролл Д. Компьютерные сети : пер. с англ. – 5-е изд. – СПб. : Питер, 2019. – 960 с. – ISBN 978-5-459-00342-0.</w:t>
      </w:r>
      <w:r/>
    </w:p>
    <w:p w14:paraId="69BF95F9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3. Куроуз Дж., Росс К. Компьютерные сети. Нисходящий подход : пер. с англ. – 7-е изд. – М. : Эксмо, 2021. – 912 с. – ISBN 978-5-04-088472-8.</w:t>
      </w:r>
      <w:r/>
    </w:p>
    <w:p w14:paraId="5F104563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4. Кульгин М. В. Технологии корпоративных сетей : энциклопедия. – СПб: Питер, 2018. – 704 с.</w:t>
      </w:r>
      <w:r/>
    </w:p>
    <w:p w14:paraId="0C3EBA89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5. Поляк-Брагинский А. В. Локальная сеть. Самое необходимое. – 2-е изд., перераб. и доп. – СПб: БХВ-Петербург, 2019. – 576 с. – ISBN 978-5-9775-3961-2.</w:t>
      </w:r>
      <w:r/>
    </w:p>
    <w:p w14:paraId="702EF4EF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6. Назаров А. В., Мельников В. П., Куприянов А. И. Эксплуатация объектов сетевой инфраструктуры : учебник. – М. : Академия, 2019. – 368 с. – ISBN 978-5-4468-7635-2.</w:t>
      </w:r>
      <w:r/>
    </w:p>
    <w:p w14:paraId="5A4C34E4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7. Воробьев А. А., Дроздова Ю. А. Мониторинг информационных систем : учебное пособие. – М. : ИНФРА-М, 2021. – 256 с.</w:t>
      </w:r>
      <w:r/>
    </w:p>
    <w:p w14:paraId="7398E03E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8. Vladishev A. Zabbix 6 IT Infrastructure Monitoring Cookbook : Explore the new features of Zabbix 6 for designing, building, and maintaining your Zabbix setup. – 2nd ed. – Birmingham : Packt Publishing, 2022. – 482 p. – ISBN 978-1-80323-577-4.</w:t>
      </w:r>
      <w:r/>
    </w:p>
    <w:p w14:paraId="213A71F6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9. Дадан О. SNMP. Учебник по администрированию сетей : пер. с англ. – М. : ДМК Пресс, 2018. – 432 с.</w:t>
      </w:r>
      <w:r/>
    </w:p>
    <w:p w14:paraId="36BBA3AA" w14:textId="77777777">
      <w:pPr>
        <w:pStyle w:val="1067"/>
        <w:suppressLineNumbers w:val="false"/>
        <w:pBdr/>
        <w:bidi w:val="false"/>
        <w:spacing w:after="0" w:afterAutospacing="0" w:before="0" w:beforeAutospacing="0" w:line="360" w:lineRule="auto"/>
        <w:ind w:right="0" w:firstLine="709" w:left="0"/>
        <w:jc w:val="both"/>
        <w:rPr>
          <w:rFonts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10.Кристофер Негус, Линукс библия, 2022.– URL: https://ftp.zhirov.kz/books/IT/Unix/</w:t>
      </w:r>
      <w:r>
        <w:rPr>
          <w:rFonts w:eastAsia="Times New Roman" w:cs="Times New Roman"/>
          <w:color w:val="auto"/>
          <w:sz w:val="28"/>
          <w:szCs w:val="28"/>
        </w:rPr>
      </w:r>
      <w:r>
        <w:rPr>
          <w:rFonts w:eastAsia="Times New Roman" w:cs="Times New Roman"/>
          <w:color w:val="auto"/>
          <w:sz w:val="28"/>
          <w:szCs w:val="28"/>
        </w:rPr>
      </w:r>
    </w:p>
    <w:p w14:paraId="15DBF66C" w14:textId="77777777">
      <w:pPr>
        <w:pStyle w:val="1067"/>
        <w:suppressLineNumbers w:val="false"/>
        <w:pBdr/>
        <w:bidi w:val="false"/>
        <w:spacing w:after="0" w:afterAutospacing="0" w:before="0" w:beforeAutospacing="0" w:line="360" w:lineRule="auto"/>
        <w:ind w:right="0" w:firstLine="709" w:left="0"/>
        <w:jc w:val="both"/>
        <w:rPr>
          <w:rFonts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11. Официальная документация ALT Linux. – URL: https://www.altlinux.org/</w:t>
      </w:r>
      <w:r>
        <w:rPr>
          <w:rFonts w:eastAsia="Times New Roman" w:cs="Times New Roman"/>
          <w:color w:val="auto"/>
          <w:sz w:val="28"/>
          <w:szCs w:val="28"/>
        </w:rPr>
      </w:r>
      <w:r>
        <w:rPr>
          <w:rFonts w:eastAsia="Times New Roman" w:cs="Times New Roman"/>
          <w:color w:val="auto"/>
          <w:sz w:val="28"/>
          <w:szCs w:val="28"/>
        </w:rPr>
      </w:r>
    </w:p>
    <w:p w14:paraId="07EC38BB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12. Официальная документация Zabbix [Электронный ресурс]: руководство по версии 6.4. – Электрон. дан. – Zabbix LLC, 2024. – URL: https://www.zabbix.com/documentation/6.4/ru/manual (дата обращения: 10.05.2026).</w:t>
      </w:r>
      <w:r/>
    </w:p>
    <w:p w14:paraId="38320F97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13. PostgreSQL: The world's most advanced open source database [Электронный ресурс]: официальная документация. – Электрон. дан. – PostgreSQL Global Development Group, 2024. – URL: https://www.postgresql.org/docs/ (дата обращения: 12.05.2026).</w:t>
      </w:r>
      <w:r/>
    </w:p>
    <w:p w14:paraId="4D917717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14. Кузнецов А. С. Системы мониторинга сетевой инфраструктуры: обзор и сравнительный анализ // Информационные технологии. – 2023. – Т. 29, № 8. – С. 412–420.</w:t>
      </w:r>
      <w:r/>
    </w:p>
    <w:p w14:paraId="74F734E8" w14:textId="77777777">
      <w:pPr>
        <w:pStyle w:val="1067"/>
        <w:suppressLineNumbers w:val="false"/>
        <w:pBdr/>
        <w:spacing w:after="0" w:afterAutospacing="0" w:before="0" w:beforeAutospacing="0" w:line="360" w:lineRule="auto"/>
        <w:ind w:firstLine="709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15. Документация Альт Сервер [Электронный ресурс]: руководство пользователя ALT Server 10. – Электрон. дан. – ООО «Базальт СПО», 2024. – URL: https://www.basealt.ru/alt-server/description (дата обращения: 13.05.2026).</w:t>
      </w:r>
      <w:r/>
    </w:p>
    <w:sectPr>
      <w:headerReference w:type="default" r:id="rId13"/>
      <w:headerReference w:type="first" r:id="rId14"/>
      <w:footerReference w:type="default" r:id="rId18"/>
      <w:footerReference w:type="first" r:id="rId19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LXGW WenKai">
    <w:panose1 w:val="05040102010807070707"/>
  </w:font>
  <w:font w:name="Droid Sans">
    <w:panose1 w:val="020B0706030804020204"/>
  </w:font>
  <w:font w:name="Wingdings">
    <w:panose1 w:val="05000000000000000000"/>
  </w:font>
  <w:font w:name="Liberation Sans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4D804A1" w14:textId="77777777">
    <w:pPr>
      <w:pStyle w:val="1100"/>
      <w:pBdr/>
      <w:spacing/>
      <w:ind/>
      <w:jc w:val="right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0</w:t>
    </w:r>
    <w:r>
      <w:fldChar w:fldCharType="end"/>
    </w:r>
    <w:r/>
  </w:p>
  <w:p w14:paraId="3B7B4B86" w14:textId="77777777">
    <w:pPr>
      <w:pStyle w:val="106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3F29E8" w14:textId="77777777">
    <w:pPr>
      <w:pStyle w:val="110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7"/>
      <w:tblInd w:w="0" w:type="dxa"/>
      <w:tblW w:w="9345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>
      <w:trPr>
        <w:trHeight w:val="300"/>
      </w:trPr>
      <w:tc>
        <w:tcPr>
          <w:tcBorders/>
          <w:tcW w:w="3115" w:type="dxa"/>
        </w:tcPr>
        <w:p w14:paraId="5630AD66" w14:textId="77777777">
          <w:pPr>
            <w:pStyle w:val="1099"/>
            <w:widowControl w:val="true"/>
            <w:pBdr/>
            <w:bidi w:val="false"/>
            <w:spacing w:after="0" w:before="0"/>
            <w:ind w:left="-115"/>
            <w:jc w:val="lef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61829076" w14:textId="77777777">
          <w:pPr>
            <w:pStyle w:val="1099"/>
            <w:widowControl w:val="true"/>
            <w:pBdr/>
            <w:bidi w:val="false"/>
            <w:spacing w:after="0" w:before="0"/>
            <w:ind/>
            <w:jc w:val="center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2BA226A1" w14:textId="77777777">
          <w:pPr>
            <w:pStyle w:val="1099"/>
            <w:widowControl w:val="true"/>
            <w:pBdr/>
            <w:bidi w:val="false"/>
            <w:spacing w:after="0" w:before="0"/>
            <w:ind w:right="-115"/>
            <w:jc w:val="righ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</w:tr>
  </w:tbl>
  <w:p w14:paraId="17AD93B2" w14:textId="77777777">
    <w:pPr>
      <w:pStyle w:val="1100"/>
      <w:pBdr/>
      <w:bidi w:val="false"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18709F" w14:textId="77777777">
    <w:pPr>
      <w:pStyle w:val="1100"/>
      <w:pBdr/>
      <w:spacing/>
      <w:ind/>
      <w:jc w:val="right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47</w:t>
    </w:r>
    <w:r>
      <w:fldChar w:fldCharType="end"/>
    </w:r>
    <w:r/>
  </w:p>
  <w:p w14:paraId="2DBF0D7D" w14:textId="77777777">
    <w:pPr>
      <w:pStyle w:val="1067"/>
      <w:pBdr/>
      <w:spacing/>
      <w:ind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/>
        <w:sz w:val="28"/>
        <w:szCs w:val="28"/>
      </w:rPr>
    </w: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eastAsia="Times New Roman" w:cs="Times New Roman"/>
        <w:sz w:val="28"/>
        <w:szCs w:val="28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B62F1B3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FB9E20" w14:textId="77777777">
    <w:pPr>
      <w:pStyle w:val="106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37F28F" w14:textId="77777777">
    <w:pPr>
      <w:pStyle w:val="1099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7"/>
      <w:tblInd w:w="0" w:type="dxa"/>
      <w:tblW w:w="9345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>
      <w:trPr>
        <w:trHeight w:val="300"/>
      </w:trPr>
      <w:tc>
        <w:tcPr>
          <w:tcBorders/>
          <w:tcW w:w="3115" w:type="dxa"/>
        </w:tcPr>
        <w:p w14:paraId="44E871BC" w14:textId="77777777">
          <w:pPr>
            <w:pStyle w:val="1099"/>
            <w:widowControl w:val="true"/>
            <w:pBdr/>
            <w:bidi w:val="false"/>
            <w:spacing w:after="0" w:before="0"/>
            <w:ind w:left="-115"/>
            <w:jc w:val="lef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144A5D23" w14:textId="77777777">
          <w:pPr>
            <w:pStyle w:val="1099"/>
            <w:widowControl w:val="true"/>
            <w:pBdr/>
            <w:bidi w:val="false"/>
            <w:spacing w:after="0" w:before="0"/>
            <w:ind/>
            <w:jc w:val="center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738610EB" w14:textId="77777777">
          <w:pPr>
            <w:pStyle w:val="1099"/>
            <w:widowControl w:val="true"/>
            <w:pBdr/>
            <w:bidi w:val="false"/>
            <w:spacing w:after="0" w:before="0"/>
            <w:ind w:right="-115"/>
            <w:jc w:val="righ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</w:tr>
  </w:tbl>
  <w:p w14:paraId="637805D2" w14:textId="77777777">
    <w:pPr>
      <w:pStyle w:val="1099"/>
      <w:pBdr/>
      <w:bidi w:val="false"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E4B5B7" w14:textId="77777777">
    <w:pPr>
      <w:pStyle w:val="1067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204FF1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37CFDF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nsid w:val="1157BA1E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nsid w:val="2EA19EF1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85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57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329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401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73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4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617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89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614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1">
    <w:name w:val="Table Grid Light"/>
    <w:basedOn w:val="11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Plain Table 1"/>
    <w:basedOn w:val="11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2"/>
    <w:basedOn w:val="11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Plain Table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Plain Table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Plain Table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1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- Accent 2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3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 - Accent 4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 - Accent 5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- Accent 6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5 Dark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1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 2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3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ned - Accent 4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ned - Accent 5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ned - Accent 6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1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 2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3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&amp; Lined - Accent 4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&amp; Lined - Accent 5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&amp; Lined - Accent 6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6">
    <w:name w:val="Heading 7"/>
    <w:basedOn w:val="1067"/>
    <w:next w:val="1067"/>
    <w:link w:val="103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7">
    <w:name w:val="Heading 8"/>
    <w:basedOn w:val="1067"/>
    <w:next w:val="1067"/>
    <w:link w:val="103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8">
    <w:name w:val="Heading 9"/>
    <w:basedOn w:val="1067"/>
    <w:next w:val="1067"/>
    <w:link w:val="103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9" w:default="1">
    <w:name w:val="Default Paragraph Font"/>
    <w:uiPriority w:val="1"/>
    <w:semiHidden/>
    <w:unhideWhenUsed/>
    <w:pPr>
      <w:pBdr/>
      <w:spacing/>
      <w:ind/>
    </w:pPr>
  </w:style>
  <w:style w:type="numbering" w:styleId="1030" w:default="1">
    <w:name w:val="No List"/>
    <w:uiPriority w:val="99"/>
    <w:semiHidden/>
    <w:unhideWhenUsed/>
    <w:pPr>
      <w:pBdr/>
      <w:spacing/>
      <w:ind/>
    </w:pPr>
  </w:style>
  <w:style w:type="character" w:styleId="1031">
    <w:name w:val="Heading 1 Char"/>
    <w:basedOn w:val="1029"/>
    <w:link w:val="10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32">
    <w:name w:val="Heading 2 Char"/>
    <w:basedOn w:val="1029"/>
    <w:link w:val="10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33">
    <w:name w:val="Heading 3 Char"/>
    <w:basedOn w:val="1029"/>
    <w:link w:val="10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4">
    <w:name w:val="Heading 4 Char"/>
    <w:basedOn w:val="1029"/>
    <w:link w:val="10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5">
    <w:name w:val="Heading 5 Char"/>
    <w:basedOn w:val="1029"/>
    <w:link w:val="10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6">
    <w:name w:val="Heading 6 Char"/>
    <w:basedOn w:val="1029"/>
    <w:link w:val="10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7">
    <w:name w:val="Heading 7 Char"/>
    <w:basedOn w:val="1029"/>
    <w:link w:val="102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8">
    <w:name w:val="Heading 8 Char"/>
    <w:basedOn w:val="1029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9">
    <w:name w:val="Heading 9 Char"/>
    <w:basedOn w:val="1029"/>
    <w:link w:val="10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0">
    <w:name w:val="Title Char"/>
    <w:basedOn w:val="1029"/>
    <w:link w:val="10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41">
    <w:name w:val="Subtitle"/>
    <w:basedOn w:val="1067"/>
    <w:next w:val="1067"/>
    <w:link w:val="104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42">
    <w:name w:val="Subtitle Char"/>
    <w:basedOn w:val="1029"/>
    <w:link w:val="10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3">
    <w:name w:val="Quote"/>
    <w:basedOn w:val="1067"/>
    <w:next w:val="1067"/>
    <w:link w:val="10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4">
    <w:name w:val="Quote Char"/>
    <w:basedOn w:val="1029"/>
    <w:link w:val="104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5">
    <w:name w:val="Intense Emphasis"/>
    <w:basedOn w:val="10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6">
    <w:name w:val="Intense Quote"/>
    <w:basedOn w:val="1067"/>
    <w:next w:val="1067"/>
    <w:link w:val="104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7">
    <w:name w:val="Intense Quote Char"/>
    <w:basedOn w:val="1029"/>
    <w:link w:val="104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8">
    <w:name w:val="Intense Reference"/>
    <w:basedOn w:val="10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49">
    <w:name w:val="No Spacing"/>
    <w:basedOn w:val="1067"/>
    <w:uiPriority w:val="1"/>
    <w:qFormat/>
    <w:pPr>
      <w:pBdr/>
      <w:spacing w:after="0" w:line="240" w:lineRule="auto"/>
      <w:ind/>
    </w:pPr>
  </w:style>
  <w:style w:type="character" w:styleId="1050">
    <w:name w:val="Subtle Emphasis"/>
    <w:basedOn w:val="10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1">
    <w:name w:val="Strong"/>
    <w:basedOn w:val="1029"/>
    <w:uiPriority w:val="22"/>
    <w:qFormat/>
    <w:pPr>
      <w:pBdr/>
      <w:spacing/>
      <w:ind/>
    </w:pPr>
    <w:rPr>
      <w:b/>
      <w:bCs/>
    </w:rPr>
  </w:style>
  <w:style w:type="character" w:styleId="1052">
    <w:name w:val="Subtle Reference"/>
    <w:basedOn w:val="10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3">
    <w:name w:val="Book Title"/>
    <w:basedOn w:val="10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54">
    <w:name w:val="Header Char"/>
    <w:basedOn w:val="1029"/>
    <w:link w:val="1099"/>
    <w:uiPriority w:val="99"/>
    <w:pPr>
      <w:pBdr/>
      <w:spacing/>
      <w:ind/>
    </w:pPr>
  </w:style>
  <w:style w:type="character" w:styleId="1055">
    <w:name w:val="Footer Char"/>
    <w:basedOn w:val="1029"/>
    <w:link w:val="1100"/>
    <w:uiPriority w:val="99"/>
    <w:pPr>
      <w:pBdr/>
      <w:spacing/>
      <w:ind/>
    </w:pPr>
  </w:style>
  <w:style w:type="character" w:styleId="1056">
    <w:name w:val="FollowedHyperlink"/>
    <w:basedOn w:val="10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7">
    <w:name w:val="toc 3"/>
    <w:basedOn w:val="1067"/>
    <w:next w:val="1067"/>
    <w:uiPriority w:val="39"/>
    <w:unhideWhenUsed/>
    <w:pPr>
      <w:pBdr/>
      <w:spacing w:after="100"/>
      <w:ind w:left="440"/>
    </w:pPr>
  </w:style>
  <w:style w:type="paragraph" w:styleId="1058">
    <w:name w:val="toc 4"/>
    <w:basedOn w:val="1067"/>
    <w:next w:val="1067"/>
    <w:uiPriority w:val="39"/>
    <w:unhideWhenUsed/>
    <w:pPr>
      <w:pBdr/>
      <w:spacing w:after="100"/>
      <w:ind w:left="660"/>
    </w:pPr>
  </w:style>
  <w:style w:type="paragraph" w:styleId="1059">
    <w:name w:val="toc 5"/>
    <w:basedOn w:val="1067"/>
    <w:next w:val="1067"/>
    <w:uiPriority w:val="39"/>
    <w:unhideWhenUsed/>
    <w:pPr>
      <w:pBdr/>
      <w:spacing w:after="100"/>
      <w:ind w:left="880"/>
    </w:pPr>
  </w:style>
  <w:style w:type="paragraph" w:styleId="1060">
    <w:name w:val="toc 6"/>
    <w:basedOn w:val="1067"/>
    <w:next w:val="1067"/>
    <w:uiPriority w:val="39"/>
    <w:unhideWhenUsed/>
    <w:pPr>
      <w:pBdr/>
      <w:spacing w:after="100"/>
      <w:ind w:left="1100"/>
    </w:pPr>
  </w:style>
  <w:style w:type="paragraph" w:styleId="1061">
    <w:name w:val="toc 7"/>
    <w:basedOn w:val="1067"/>
    <w:next w:val="1067"/>
    <w:uiPriority w:val="39"/>
    <w:unhideWhenUsed/>
    <w:pPr>
      <w:pBdr/>
      <w:spacing w:after="100"/>
      <w:ind w:left="1320"/>
    </w:pPr>
  </w:style>
  <w:style w:type="paragraph" w:styleId="1062">
    <w:name w:val="toc 8"/>
    <w:basedOn w:val="1067"/>
    <w:next w:val="1067"/>
    <w:uiPriority w:val="39"/>
    <w:unhideWhenUsed/>
    <w:pPr>
      <w:pBdr/>
      <w:spacing w:after="100"/>
      <w:ind w:left="1540"/>
    </w:pPr>
  </w:style>
  <w:style w:type="paragraph" w:styleId="1063">
    <w:name w:val="toc 9"/>
    <w:basedOn w:val="1067"/>
    <w:next w:val="1067"/>
    <w:uiPriority w:val="39"/>
    <w:unhideWhenUsed/>
    <w:pPr>
      <w:pBdr/>
      <w:spacing w:after="100"/>
      <w:ind w:left="1760"/>
    </w:pPr>
  </w:style>
  <w:style w:type="character" w:styleId="1064">
    <w:name w:val="Placeholder Text"/>
    <w:basedOn w:val="1029"/>
    <w:uiPriority w:val="99"/>
    <w:semiHidden/>
    <w:pPr>
      <w:pBdr/>
      <w:spacing/>
      <w:ind/>
    </w:pPr>
    <w:rPr>
      <w:color w:val="666666"/>
    </w:rPr>
  </w:style>
  <w:style w:type="paragraph" w:styleId="1065">
    <w:name w:val="TOC Heading"/>
    <w:uiPriority w:val="39"/>
    <w:unhideWhenUsed/>
    <w:pPr>
      <w:pBdr/>
      <w:spacing/>
      <w:ind/>
    </w:pPr>
  </w:style>
  <w:style w:type="paragraph" w:styleId="1066">
    <w:name w:val="table of figures"/>
    <w:basedOn w:val="1067"/>
    <w:next w:val="1067"/>
    <w:uiPriority w:val="99"/>
    <w:unhideWhenUsed/>
    <w:pPr>
      <w:pBdr/>
      <w:spacing w:after="0" w:afterAutospacing="0"/>
      <w:ind/>
    </w:pPr>
  </w:style>
  <w:style w:type="paragraph" w:styleId="1067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1068">
    <w:name w:val="Heading 1"/>
    <w:basedOn w:val="1083"/>
    <w:qFormat/>
    <w:pPr>
      <w:pBdr/>
      <w:spacing/>
      <w:ind/>
    </w:pPr>
    <w:rPr>
      <w:color w:val="2e74b5"/>
      <w:sz w:val="32"/>
      <w:szCs w:val="32"/>
    </w:rPr>
  </w:style>
  <w:style w:type="paragraph" w:styleId="1069">
    <w:name w:val="Heading 2"/>
    <w:basedOn w:val="1083"/>
    <w:qFormat/>
    <w:pPr>
      <w:pBdr/>
      <w:spacing/>
      <w:ind/>
    </w:pPr>
    <w:rPr>
      <w:color w:val="2e74b5"/>
      <w:sz w:val="26"/>
      <w:szCs w:val="26"/>
    </w:rPr>
  </w:style>
  <w:style w:type="paragraph" w:styleId="1070">
    <w:name w:val="Heading 3"/>
    <w:basedOn w:val="1083"/>
    <w:qFormat/>
    <w:pPr>
      <w:pBdr/>
      <w:spacing/>
      <w:ind/>
    </w:pPr>
    <w:rPr>
      <w:color w:val="1f4d78"/>
      <w:sz w:val="24"/>
      <w:szCs w:val="24"/>
    </w:rPr>
  </w:style>
  <w:style w:type="paragraph" w:styleId="1071">
    <w:name w:val="Heading 4"/>
    <w:basedOn w:val="1083"/>
    <w:qFormat/>
    <w:pPr>
      <w:pBdr/>
      <w:spacing/>
      <w:ind/>
    </w:pPr>
    <w:rPr>
      <w:i/>
      <w:iCs/>
      <w:color w:val="2e74b5"/>
    </w:rPr>
  </w:style>
  <w:style w:type="paragraph" w:styleId="1072">
    <w:name w:val="Heading 5"/>
    <w:basedOn w:val="1083"/>
    <w:qFormat/>
    <w:pPr>
      <w:pBdr/>
      <w:spacing/>
      <w:ind/>
    </w:pPr>
    <w:rPr>
      <w:color w:val="2e74b5"/>
    </w:rPr>
  </w:style>
  <w:style w:type="paragraph" w:styleId="1073">
    <w:name w:val="Heading 6"/>
    <w:basedOn w:val="1083"/>
    <w:qFormat/>
    <w:pPr>
      <w:pBdr/>
      <w:spacing/>
      <w:ind/>
    </w:pPr>
    <w:rPr>
      <w:color w:val="1f4d78"/>
    </w:rPr>
  </w:style>
  <w:style w:type="character" w:styleId="107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75">
    <w:name w:val="Символ сноски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076">
    <w:name w:val="footnote reference"/>
    <w:pPr>
      <w:pBdr/>
      <w:spacing/>
      <w:ind/>
    </w:pPr>
    <w:rPr>
      <w:vertAlign w:val="superscript"/>
    </w:rPr>
  </w:style>
  <w:style w:type="character" w:styleId="1077">
    <w:name w:val="Footnote Text Char"/>
    <w:uiPriority w:val="99"/>
    <w:semiHidden/>
    <w:unhideWhenUsed/>
    <w:qFormat/>
    <w:pPr>
      <w:pBdr/>
      <w:spacing/>
      <w:ind/>
    </w:pPr>
    <w:rPr>
      <w:sz w:val="20"/>
      <w:szCs w:val="20"/>
    </w:rPr>
  </w:style>
  <w:style w:type="character" w:styleId="1078">
    <w:name w:val="Символ концевой сноски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079">
    <w:name w:val="endnote reference"/>
    <w:pPr>
      <w:pBdr/>
      <w:spacing/>
      <w:ind/>
    </w:pPr>
    <w:rPr>
      <w:vertAlign w:val="superscript"/>
    </w:rPr>
  </w:style>
  <w:style w:type="character" w:styleId="1080">
    <w:name w:val="Endnote Text Char"/>
    <w:uiPriority w:val="99"/>
    <w:semiHidden/>
    <w:unhideWhenUsed/>
    <w:qFormat/>
    <w:pPr>
      <w:pBdr/>
      <w:spacing/>
      <w:ind/>
    </w:pPr>
    <w:rPr>
      <w:sz w:val="20"/>
      <w:szCs w:val="20"/>
    </w:rPr>
  </w:style>
  <w:style w:type="character" w:styleId="1081">
    <w:name w:val="Ссылка указателя"/>
    <w:qFormat/>
    <w:pPr>
      <w:pBdr/>
      <w:spacing/>
      <w:ind/>
    </w:pPr>
  </w:style>
  <w:style w:type="character" w:styleId="1082">
    <w:name w:val="Emphasis"/>
    <w:qFormat/>
    <w:pPr>
      <w:pBdr/>
      <w:spacing/>
      <w:ind/>
    </w:pPr>
    <w:rPr>
      <w:i/>
      <w:iCs/>
    </w:rPr>
  </w:style>
  <w:style w:type="paragraph" w:styleId="1083">
    <w:name w:val="Заголовок"/>
    <w:basedOn w:val="1067"/>
    <w:next w:val="1084"/>
    <w:qFormat/>
    <w:pPr>
      <w:keepNext w:val="true"/>
      <w:pBdr/>
      <w:spacing w:after="120" w:before="240"/>
      <w:ind/>
    </w:pPr>
    <w:rPr>
      <w:rFonts w:ascii="Liberation Sans" w:hAnsi="Liberation Sans" w:eastAsia="LXGW WenKai" w:cs="Droid Sans"/>
      <w:sz w:val="28"/>
      <w:szCs w:val="28"/>
    </w:rPr>
  </w:style>
  <w:style w:type="paragraph" w:styleId="1084">
    <w:name w:val="Body Text"/>
    <w:basedOn w:val="1067"/>
    <w:pPr>
      <w:pBdr/>
      <w:spacing w:after="140" w:before="0" w:line="276" w:lineRule="auto"/>
      <w:ind/>
    </w:pPr>
  </w:style>
  <w:style w:type="paragraph" w:styleId="1085">
    <w:name w:val="List"/>
    <w:basedOn w:val="1084"/>
    <w:pPr>
      <w:pBdr/>
      <w:spacing/>
      <w:ind/>
    </w:pPr>
    <w:rPr>
      <w:rFonts w:cs="Droid Sans"/>
    </w:rPr>
  </w:style>
  <w:style w:type="paragraph" w:styleId="1086">
    <w:name w:val="Caption"/>
    <w:basedOn w:val="1067"/>
    <w:qFormat/>
    <w:pPr>
      <w:suppressLineNumbers w:val="true"/>
      <w:pBdr/>
      <w:spacing w:after="120" w:before="120"/>
      <w:ind/>
    </w:pPr>
    <w:rPr>
      <w:rFonts w:cs="Droid Sans"/>
      <w:i/>
      <w:iCs/>
      <w:sz w:val="24"/>
      <w:szCs w:val="24"/>
    </w:rPr>
  </w:style>
  <w:style w:type="paragraph" w:styleId="1087">
    <w:name w:val="Указатель"/>
    <w:basedOn w:val="1067"/>
    <w:qFormat/>
    <w:pPr>
      <w:suppressLineNumbers w:val="true"/>
      <w:pBdr/>
      <w:spacing/>
      <w:ind/>
    </w:pPr>
    <w:rPr>
      <w:rFonts w:cs="Droid Sans"/>
    </w:rPr>
  </w:style>
  <w:style w:type="paragraph" w:styleId="1088">
    <w:name w:val="Заголовок (user)"/>
    <w:basedOn w:val="1067"/>
    <w:next w:val="1084"/>
    <w:qFormat/>
    <w:pPr>
      <w:keepNext w:val="true"/>
      <w:pBdr/>
      <w:spacing w:after="120" w:before="240"/>
      <w:ind/>
    </w:pPr>
    <w:rPr>
      <w:rFonts w:ascii="Liberation Sans" w:hAnsi="Liberation Sans" w:eastAsia="LXGW WenKai" w:cs="Droid Sans"/>
      <w:sz w:val="28"/>
      <w:szCs w:val="28"/>
    </w:rPr>
  </w:style>
  <w:style w:type="paragraph" w:styleId="1089">
    <w:name w:val="Указатель (user)"/>
    <w:basedOn w:val="1067"/>
    <w:qFormat/>
    <w:pPr>
      <w:suppressLineNumbers w:val="true"/>
      <w:pBdr/>
      <w:spacing/>
      <w:ind/>
    </w:pPr>
    <w:rPr>
      <w:rFonts w:cs="Droid Sans"/>
    </w:rPr>
  </w:style>
  <w:style w:type="paragraph" w:styleId="1090">
    <w:name w:val="Title"/>
    <w:basedOn w:val="1083"/>
    <w:qFormat/>
    <w:pPr>
      <w:pBdr/>
      <w:spacing/>
      <w:ind/>
    </w:pPr>
    <w:rPr>
      <w:sz w:val="56"/>
      <w:szCs w:val="56"/>
    </w:rPr>
  </w:style>
  <w:style w:type="paragraph" w:styleId="1091">
    <w:name w:val="Strong Emphasis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92">
    <w:name w:val="List Paragraph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1093">
    <w:name w:val="footnote text"/>
    <w:basedOn w:val="1067"/>
    <w:link w:val="107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94">
    <w:name w:val="endnote text"/>
    <w:basedOn w:val="1067"/>
    <w:link w:val="1080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95">
    <w:name w:val="heading 10"/>
    <w:qFormat/>
    <w:pPr>
      <w:widowControl w:val="true"/>
      <w:pBdr/>
      <w:bidi w:val="false"/>
      <w:spacing w:after="240" w:before="240" w:line="360" w:lineRule="auto"/>
      <w:ind/>
      <w:jc w:val="left"/>
      <w:outlineLvl w:val="0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96">
    <w:name w:val="heading 20"/>
    <w:qFormat/>
    <w:pPr>
      <w:widowControl w:val="true"/>
      <w:pBdr/>
      <w:bidi w:val="false"/>
      <w:spacing w:after="120" w:before="240" w:line="360" w:lineRule="auto"/>
      <w:ind/>
      <w:jc w:val="left"/>
      <w:outlineLvl w:val="1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97">
    <w:name w:val="Колонтитулы"/>
    <w:basedOn w:val="1067"/>
    <w:qFormat/>
    <w:pPr>
      <w:pBdr/>
      <w:spacing/>
      <w:ind/>
    </w:pPr>
  </w:style>
  <w:style w:type="paragraph" w:styleId="1098">
    <w:name w:val="Колонтитулы (user)"/>
    <w:basedOn w:val="1067"/>
    <w:qFormat/>
    <w:pPr>
      <w:pBdr/>
      <w:spacing/>
      <w:ind/>
    </w:pPr>
  </w:style>
  <w:style w:type="paragraph" w:styleId="1099">
    <w:name w:val="Header"/>
    <w:basedOn w:val="1097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1100">
    <w:name w:val="Footer"/>
    <w:basedOn w:val="1097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1101">
    <w:name w:val="Верхний колонтитул слева"/>
    <w:basedOn w:val="1099"/>
    <w:qFormat/>
    <w:pPr>
      <w:pBdr/>
      <w:spacing/>
      <w:ind/>
    </w:pPr>
  </w:style>
  <w:style w:type="paragraph" w:styleId="1102">
    <w:name w:val="toc 1"/>
    <w:basedOn w:val="1067"/>
    <w:next w:val="1067"/>
    <w:uiPriority w:val="39"/>
    <w:unhideWhenUsed/>
    <w:pPr>
      <w:pBdr/>
      <w:spacing w:after="100" w:before="0"/>
      <w:ind/>
    </w:pPr>
  </w:style>
  <w:style w:type="paragraph" w:styleId="1103">
    <w:name w:val="toc 2"/>
    <w:basedOn w:val="1067"/>
    <w:next w:val="1067"/>
    <w:uiPriority w:val="39"/>
    <w:unhideWhenUsed/>
    <w:pPr>
      <w:pBdr/>
      <w:spacing w:after="100" w:before="0"/>
      <w:ind w:left="220"/>
    </w:pPr>
  </w:style>
  <w:style w:type="paragraph" w:styleId="1104">
    <w:name w:val="Содержимое таблицы (user)"/>
    <w:basedOn w:val="1067"/>
    <w:qFormat/>
    <w:pPr>
      <w:widowControl w:val="false"/>
      <w:suppressLineNumbers w:val="true"/>
      <w:pBdr/>
      <w:spacing/>
      <w:ind/>
    </w:pPr>
  </w:style>
  <w:style w:type="paragraph" w:styleId="1105">
    <w:name w:val="Заголовок таблицы (user)"/>
    <w:basedOn w:val="1104"/>
    <w:qFormat/>
    <w:pPr>
      <w:suppressLineNumbers w:val="true"/>
      <w:pBdr/>
      <w:spacing/>
      <w:ind/>
      <w:jc w:val="center"/>
    </w:pPr>
    <w:rPr>
      <w:b/>
      <w:bCs/>
    </w:rPr>
  </w:style>
  <w:style w:type="paragraph" w:styleId="1106">
    <w:name w:val="Содержимое врезки"/>
    <w:basedOn w:val="1067"/>
    <w:qFormat/>
    <w:pPr>
      <w:pBdr/>
      <w:spacing/>
      <w:ind/>
    </w:pPr>
  </w:style>
  <w:style w:type="table" w:styleId="1107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Table Grid"/>
    <w:basedOn w:val="110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header" Target="header3.xml" /><Relationship Id="rId13" Type="http://schemas.openxmlformats.org/officeDocument/2006/relationships/header" Target="header4.xml" /><Relationship Id="rId14" Type="http://schemas.openxmlformats.org/officeDocument/2006/relationships/header" Target="header5.xml" /><Relationship Id="rId15" Type="http://schemas.openxmlformats.org/officeDocument/2006/relationships/footer" Target="footer1.xml" /><Relationship Id="rId16" Type="http://schemas.openxmlformats.org/officeDocument/2006/relationships/footer" Target="footer2.xml" /><Relationship Id="rId17" Type="http://schemas.openxmlformats.org/officeDocument/2006/relationships/footer" Target="footer3.xml" /><Relationship Id="rId18" Type="http://schemas.openxmlformats.org/officeDocument/2006/relationships/footer" Target="footer4.xml" /><Relationship Id="rId19" Type="http://schemas.openxmlformats.org/officeDocument/2006/relationships/footer" Target="footer5.xml" 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hyperlink" Target="https://mail.google.com/?utm_source=chatgpt.com" TargetMode="External"/><Relationship Id="rId26" Type="http://schemas.openxmlformats.org/officeDocument/2006/relationships/image" Target="media/image6.png"/><Relationship Id="rId27" Type="http://schemas.openxmlformats.org/officeDocument/2006/relationships/image" Target="media/image7.png"/><Relationship Id="rId28" Type="http://schemas.openxmlformats.org/officeDocument/2006/relationships/image" Target="media/image8.png"/><Relationship Id="rId29" Type="http://schemas.openxmlformats.org/officeDocument/2006/relationships/image" Target="media/image9.png"/><Relationship Id="rId30" Type="http://schemas.openxmlformats.org/officeDocument/2006/relationships/image" Target="media/image10.png"/><Relationship Id="rId31" Type="http://schemas.openxmlformats.org/officeDocument/2006/relationships/image" Target="media/image11.png"/><Relationship Id="rId32" Type="http://schemas.openxmlformats.org/officeDocument/2006/relationships/image" Target="media/image12.jpg"/><Relationship Id="rId33" Type="http://schemas.openxmlformats.org/officeDocument/2006/relationships/image" Target="media/image13.jpg"/><Relationship Id="rId34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64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Table Grid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Table Grid Light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Plain Table 1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Plain Table 2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Plain Table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Plain Table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Plain Table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1 Light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1 Light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1 Light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1 Light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1 Light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2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2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2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2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2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3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3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3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3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3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1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4 - Accent 2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4 - Accent 3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4 - Accent 4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4 - Accent 5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4 - Accent 6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5 Dark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5 Dark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5 Dark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5 Dark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5 Dark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6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6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6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6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6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Grid Table 7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Grid Table 7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Grid Table 7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Grid Table 7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Grid Table 7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1 Light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1 Light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1 Light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1 Light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1 Light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2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2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2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2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2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3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3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3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3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3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4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4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4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4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4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5 Dark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5 Dark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5 Dark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5 Dark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5 Dark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6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6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6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6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6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st Table 7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7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st Table 7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st Table 7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st Table 7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1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ned - Accent 2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ned - Accent 3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Lined - Accent 4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Lined - Accent 5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Lined - Accent 6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1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 &amp; Lined - Accent 2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&amp; Lined - Accent 3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 &amp; Lined - Accent 4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&amp; Lined - Accent 5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&amp; Lined - Accent 6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Bordered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Bordered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Bordered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Bordered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Bordered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8" w:default="1">
    <w:name w:val="Normal"/>
    <w:qFormat/>
    <w:pPr>
      <w:pBdr/>
      <w:spacing/>
      <w:ind/>
    </w:pPr>
  </w:style>
  <w:style w:type="paragraph" w:styleId="1739">
    <w:name w:val="Heading 1"/>
    <w:basedOn w:val="1738"/>
    <w:next w:val="1738"/>
    <w:link w:val="17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40">
    <w:name w:val="Heading 2"/>
    <w:basedOn w:val="1738"/>
    <w:next w:val="1738"/>
    <w:link w:val="17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41">
    <w:name w:val="Heading 3"/>
    <w:basedOn w:val="1738"/>
    <w:next w:val="1738"/>
    <w:link w:val="17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42">
    <w:name w:val="Heading 4"/>
    <w:basedOn w:val="1738"/>
    <w:next w:val="1738"/>
    <w:link w:val="17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43">
    <w:name w:val="Heading 5"/>
    <w:basedOn w:val="1738"/>
    <w:next w:val="1738"/>
    <w:link w:val="17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44">
    <w:name w:val="Heading 6"/>
    <w:basedOn w:val="1738"/>
    <w:next w:val="1738"/>
    <w:link w:val="17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45">
    <w:name w:val="Heading 7"/>
    <w:basedOn w:val="1738"/>
    <w:next w:val="1738"/>
    <w:link w:val="17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46">
    <w:name w:val="Heading 8"/>
    <w:basedOn w:val="1738"/>
    <w:next w:val="1738"/>
    <w:link w:val="17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7">
    <w:name w:val="Heading 9"/>
    <w:basedOn w:val="1738"/>
    <w:next w:val="1738"/>
    <w:link w:val="17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8" w:default="1">
    <w:name w:val="Default Paragraph Font"/>
    <w:uiPriority w:val="1"/>
    <w:semiHidden/>
    <w:unhideWhenUsed/>
    <w:pPr>
      <w:pBdr/>
      <w:spacing/>
      <w:ind/>
    </w:pPr>
  </w:style>
  <w:style w:type="numbering" w:styleId="1749" w:default="1">
    <w:name w:val="No List"/>
    <w:uiPriority w:val="99"/>
    <w:semiHidden/>
    <w:unhideWhenUsed/>
    <w:pPr>
      <w:pBdr/>
      <w:spacing/>
      <w:ind/>
    </w:pPr>
  </w:style>
  <w:style w:type="character" w:styleId="1750">
    <w:name w:val="Heading 1 Char"/>
    <w:basedOn w:val="1748"/>
    <w:link w:val="17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51">
    <w:name w:val="Heading 2 Char"/>
    <w:basedOn w:val="1748"/>
    <w:link w:val="17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52">
    <w:name w:val="Heading 3 Char"/>
    <w:basedOn w:val="1748"/>
    <w:link w:val="17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53">
    <w:name w:val="Heading 4 Char"/>
    <w:basedOn w:val="1748"/>
    <w:link w:val="17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54">
    <w:name w:val="Heading 5 Char"/>
    <w:basedOn w:val="1748"/>
    <w:link w:val="17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55">
    <w:name w:val="Heading 6 Char"/>
    <w:basedOn w:val="1748"/>
    <w:link w:val="17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56">
    <w:name w:val="Heading 7 Char"/>
    <w:basedOn w:val="1748"/>
    <w:link w:val="17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57">
    <w:name w:val="Heading 8 Char"/>
    <w:basedOn w:val="1748"/>
    <w:link w:val="1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58">
    <w:name w:val="Heading 9 Char"/>
    <w:basedOn w:val="1748"/>
    <w:link w:val="17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9">
    <w:name w:val="Title"/>
    <w:basedOn w:val="1738"/>
    <w:next w:val="1738"/>
    <w:link w:val="17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60">
    <w:name w:val="Title Char"/>
    <w:basedOn w:val="1748"/>
    <w:link w:val="17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61">
    <w:name w:val="Subtitle"/>
    <w:basedOn w:val="1738"/>
    <w:next w:val="1738"/>
    <w:link w:val="17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62">
    <w:name w:val="Subtitle Char"/>
    <w:basedOn w:val="1748"/>
    <w:link w:val="17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63">
    <w:name w:val="Quote"/>
    <w:basedOn w:val="1738"/>
    <w:next w:val="1738"/>
    <w:link w:val="17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64">
    <w:name w:val="Quote Char"/>
    <w:basedOn w:val="1748"/>
    <w:link w:val="17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65">
    <w:name w:val="List Paragraph"/>
    <w:basedOn w:val="1738"/>
    <w:uiPriority w:val="34"/>
    <w:qFormat/>
    <w:pPr>
      <w:pBdr/>
      <w:spacing/>
      <w:ind w:left="720"/>
      <w:contextualSpacing w:val="true"/>
    </w:pPr>
  </w:style>
  <w:style w:type="character" w:styleId="1766">
    <w:name w:val="Intense Emphasis"/>
    <w:basedOn w:val="17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67">
    <w:name w:val="Intense Quote"/>
    <w:basedOn w:val="1738"/>
    <w:next w:val="1738"/>
    <w:link w:val="17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68">
    <w:name w:val="Intense Quote Char"/>
    <w:basedOn w:val="1748"/>
    <w:link w:val="17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69">
    <w:name w:val="Intense Reference"/>
    <w:basedOn w:val="17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70">
    <w:name w:val="No Spacing"/>
    <w:basedOn w:val="1738"/>
    <w:uiPriority w:val="1"/>
    <w:qFormat/>
    <w:pPr>
      <w:pBdr/>
      <w:spacing w:after="0" w:line="240" w:lineRule="auto"/>
      <w:ind/>
    </w:pPr>
  </w:style>
  <w:style w:type="character" w:styleId="1771">
    <w:name w:val="Subtle Emphasis"/>
    <w:basedOn w:val="17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72">
    <w:name w:val="Emphasis"/>
    <w:basedOn w:val="1748"/>
    <w:uiPriority w:val="20"/>
    <w:qFormat/>
    <w:pPr>
      <w:pBdr/>
      <w:spacing/>
      <w:ind/>
    </w:pPr>
    <w:rPr>
      <w:i/>
      <w:iCs/>
    </w:rPr>
  </w:style>
  <w:style w:type="character" w:styleId="1773">
    <w:name w:val="Strong"/>
    <w:basedOn w:val="1748"/>
    <w:uiPriority w:val="22"/>
    <w:qFormat/>
    <w:pPr>
      <w:pBdr/>
      <w:spacing/>
      <w:ind/>
    </w:pPr>
    <w:rPr>
      <w:b/>
      <w:bCs/>
    </w:rPr>
  </w:style>
  <w:style w:type="character" w:styleId="1774">
    <w:name w:val="Subtle Reference"/>
    <w:basedOn w:val="17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75">
    <w:name w:val="Book Title"/>
    <w:basedOn w:val="17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76">
    <w:name w:val="Header"/>
    <w:basedOn w:val="1738"/>
    <w:link w:val="17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7">
    <w:name w:val="Header Char"/>
    <w:basedOn w:val="1748"/>
    <w:link w:val="1776"/>
    <w:uiPriority w:val="99"/>
    <w:pPr>
      <w:pBdr/>
      <w:spacing/>
      <w:ind/>
    </w:pPr>
  </w:style>
  <w:style w:type="paragraph" w:styleId="1778">
    <w:name w:val="Footer"/>
    <w:basedOn w:val="1738"/>
    <w:link w:val="17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9">
    <w:name w:val="Footer Char"/>
    <w:basedOn w:val="1748"/>
    <w:link w:val="1778"/>
    <w:uiPriority w:val="99"/>
    <w:pPr>
      <w:pBdr/>
      <w:spacing/>
      <w:ind/>
    </w:pPr>
  </w:style>
  <w:style w:type="paragraph" w:styleId="1780">
    <w:name w:val="Caption"/>
    <w:basedOn w:val="1738"/>
    <w:next w:val="17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81">
    <w:name w:val="footnote text"/>
    <w:basedOn w:val="1738"/>
    <w:link w:val="17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2">
    <w:name w:val="Footnote Text Char"/>
    <w:basedOn w:val="1748"/>
    <w:link w:val="1781"/>
    <w:uiPriority w:val="99"/>
    <w:semiHidden/>
    <w:pPr>
      <w:pBdr/>
      <w:spacing/>
      <w:ind/>
    </w:pPr>
    <w:rPr>
      <w:sz w:val="20"/>
      <w:szCs w:val="20"/>
    </w:rPr>
  </w:style>
  <w:style w:type="character" w:styleId="1783">
    <w:name w:val="footnote reference"/>
    <w:basedOn w:val="1748"/>
    <w:uiPriority w:val="99"/>
    <w:semiHidden/>
    <w:unhideWhenUsed/>
    <w:pPr>
      <w:pBdr/>
      <w:spacing/>
      <w:ind/>
    </w:pPr>
    <w:rPr>
      <w:vertAlign w:val="superscript"/>
    </w:rPr>
  </w:style>
  <w:style w:type="paragraph" w:styleId="1784">
    <w:name w:val="endnote text"/>
    <w:basedOn w:val="1738"/>
    <w:link w:val="17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5">
    <w:name w:val="Endnote Text Char"/>
    <w:basedOn w:val="1748"/>
    <w:link w:val="1784"/>
    <w:uiPriority w:val="99"/>
    <w:semiHidden/>
    <w:pPr>
      <w:pBdr/>
      <w:spacing/>
      <w:ind/>
    </w:pPr>
    <w:rPr>
      <w:sz w:val="20"/>
      <w:szCs w:val="20"/>
    </w:rPr>
  </w:style>
  <w:style w:type="character" w:styleId="1786">
    <w:name w:val="endnote reference"/>
    <w:basedOn w:val="1748"/>
    <w:uiPriority w:val="99"/>
    <w:semiHidden/>
    <w:unhideWhenUsed/>
    <w:pPr>
      <w:pBdr/>
      <w:spacing/>
      <w:ind/>
    </w:pPr>
    <w:rPr>
      <w:vertAlign w:val="superscript"/>
    </w:rPr>
  </w:style>
  <w:style w:type="character" w:styleId="1787">
    <w:name w:val="Hyperlink"/>
    <w:basedOn w:val="17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88">
    <w:name w:val="FollowedHyperlink"/>
    <w:basedOn w:val="17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89">
    <w:name w:val="toc 1"/>
    <w:basedOn w:val="1738"/>
    <w:next w:val="1738"/>
    <w:uiPriority w:val="39"/>
    <w:unhideWhenUsed/>
    <w:pPr>
      <w:pBdr/>
      <w:spacing w:after="100"/>
      <w:ind/>
    </w:pPr>
  </w:style>
  <w:style w:type="paragraph" w:styleId="1790">
    <w:name w:val="toc 2"/>
    <w:basedOn w:val="1738"/>
    <w:next w:val="1738"/>
    <w:uiPriority w:val="39"/>
    <w:unhideWhenUsed/>
    <w:pPr>
      <w:pBdr/>
      <w:spacing w:after="100"/>
      <w:ind w:left="220"/>
    </w:pPr>
  </w:style>
  <w:style w:type="paragraph" w:styleId="1791">
    <w:name w:val="toc 3"/>
    <w:basedOn w:val="1738"/>
    <w:next w:val="1738"/>
    <w:uiPriority w:val="39"/>
    <w:unhideWhenUsed/>
    <w:pPr>
      <w:pBdr/>
      <w:spacing w:after="100"/>
      <w:ind w:left="440"/>
    </w:pPr>
  </w:style>
  <w:style w:type="paragraph" w:styleId="1792">
    <w:name w:val="toc 4"/>
    <w:basedOn w:val="1738"/>
    <w:next w:val="1738"/>
    <w:uiPriority w:val="39"/>
    <w:unhideWhenUsed/>
    <w:pPr>
      <w:pBdr/>
      <w:spacing w:after="100"/>
      <w:ind w:left="660"/>
    </w:pPr>
  </w:style>
  <w:style w:type="paragraph" w:styleId="1793">
    <w:name w:val="toc 5"/>
    <w:basedOn w:val="1738"/>
    <w:next w:val="1738"/>
    <w:uiPriority w:val="39"/>
    <w:unhideWhenUsed/>
    <w:pPr>
      <w:pBdr/>
      <w:spacing w:after="100"/>
      <w:ind w:left="880"/>
    </w:pPr>
  </w:style>
  <w:style w:type="paragraph" w:styleId="1794">
    <w:name w:val="toc 6"/>
    <w:basedOn w:val="1738"/>
    <w:next w:val="1738"/>
    <w:uiPriority w:val="39"/>
    <w:unhideWhenUsed/>
    <w:pPr>
      <w:pBdr/>
      <w:spacing w:after="100"/>
      <w:ind w:left="1100"/>
    </w:pPr>
  </w:style>
  <w:style w:type="paragraph" w:styleId="1795">
    <w:name w:val="toc 7"/>
    <w:basedOn w:val="1738"/>
    <w:next w:val="1738"/>
    <w:uiPriority w:val="39"/>
    <w:unhideWhenUsed/>
    <w:pPr>
      <w:pBdr/>
      <w:spacing w:after="100"/>
      <w:ind w:left="1320"/>
    </w:pPr>
  </w:style>
  <w:style w:type="paragraph" w:styleId="1796">
    <w:name w:val="toc 8"/>
    <w:basedOn w:val="1738"/>
    <w:next w:val="1738"/>
    <w:uiPriority w:val="39"/>
    <w:unhideWhenUsed/>
    <w:pPr>
      <w:pBdr/>
      <w:spacing w:after="100"/>
      <w:ind w:left="1540"/>
    </w:pPr>
  </w:style>
  <w:style w:type="paragraph" w:styleId="1797">
    <w:name w:val="toc 9"/>
    <w:basedOn w:val="1738"/>
    <w:next w:val="1738"/>
    <w:uiPriority w:val="39"/>
    <w:unhideWhenUsed/>
    <w:pPr>
      <w:pBdr/>
      <w:spacing w:after="100"/>
      <w:ind w:left="1760"/>
    </w:pPr>
  </w:style>
  <w:style w:type="character" w:styleId="1798">
    <w:name w:val="Placeholder Text"/>
    <w:basedOn w:val="1748"/>
    <w:uiPriority w:val="99"/>
    <w:semiHidden/>
    <w:pPr>
      <w:pBdr/>
      <w:spacing/>
      <w:ind/>
    </w:pPr>
    <w:rPr>
      <w:color w:val="666666"/>
    </w:rPr>
  </w:style>
  <w:style w:type="paragraph" w:styleId="1799">
    <w:name w:val="TOC Heading"/>
    <w:uiPriority w:val="39"/>
    <w:unhideWhenUsed/>
    <w:pPr>
      <w:pBdr/>
      <w:spacing/>
      <w:ind/>
    </w:pPr>
  </w:style>
  <w:style w:type="paragraph" w:styleId="1800">
    <w:name w:val="table of figures"/>
    <w:basedOn w:val="1738"/>
    <w:next w:val="173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</cp:revision>
  <dcterms:modified xsi:type="dcterms:W3CDTF">2026-06-21T09:34:49Z</dcterms:modified>
</cp:coreProperties>
</file>