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docProps/core.xml" ContentType="application/vnd.openxmlformats-package.core-propertie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word/footer4.xml" ContentType="application/vnd.openxmlformats-officedocument.wordprocessingml.footer+xml"/>
  <Override PartName="/word/footer5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8C32366" w14:textId="77777777">
      <w:pPr>
        <w:pStyle w:val="1067"/>
        <w:pBdr/>
        <w:spacing w:after="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 xml:space="preserve">МИНИСТЕРСТВО ОБРАЗОВАНИЯ НОВОСИБИРСКОЙ ОБЛАСТИ</w:t>
      </w:r>
      <w:r/>
    </w:p>
    <w:p w14:paraId="4466444D" w14:textId="77777777">
      <w:pPr>
        <w:pStyle w:val="1067"/>
        <w:pBdr/>
        <w:spacing w:after="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 xml:space="preserve">ГОСУДАРСТВЕННОЕ БЮДЖЕТНОЕ ПРОФЕССИОНАЛЬНОЕ</w:t>
      </w:r>
      <w:r/>
    </w:p>
    <w:p w14:paraId="4D2D3A21" w14:textId="77777777">
      <w:pPr>
        <w:pStyle w:val="1067"/>
        <w:pBdr/>
        <w:spacing w:after="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 xml:space="preserve">ОБРАЗОВАТЕЛЬНОЕ УЧРЕЖДЕНИЕ НОВОСИБИРСКОЙ ОБЛАСТИ</w:t>
      </w:r>
      <w:r/>
    </w:p>
    <w:p w14:paraId="2FA53B26" w14:textId="77777777">
      <w:pPr>
        <w:pStyle w:val="1067"/>
        <w:pBdr/>
        <w:spacing w:after="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 xml:space="preserve">«НОВОСИБИРСКИЙ ПОЛИТЕХНИЧЕСКИЙ КОЛЛЕДЖ»</w:t>
      </w:r>
      <w:r/>
    </w:p>
    <w:p w14:paraId="247BDC18" w14:textId="77777777">
      <w:pPr>
        <w:pStyle w:val="1067"/>
        <w:pBdr/>
        <w:spacing w:after="300" w:before="0" w:line="360" w:lineRule="auto"/>
        <w:ind/>
        <w:jc w:val="center"/>
        <w:rPr/>
      </w:pPr>
      <w:r>
        <w:rPr>
          <w:rFonts w:eastAsia="Times New Roman" w:cs="Times New Roman"/>
          <w:b w:val="0"/>
          <w:bCs w:val="0"/>
          <w:sz w:val="24"/>
          <w:szCs w:val="24"/>
        </w:rPr>
        <w:t xml:space="preserve">(ГБПОУ НСО «Новосибирский политехнический колледж»)</w:t>
      </w:r>
      <w:r/>
    </w:p>
    <w:p w14:paraId="3B2C86F9" w14:textId="77777777">
      <w:pPr>
        <w:pStyle w:val="1067"/>
        <w:pBdr/>
        <w:spacing w:line="240" w:lineRule="auto"/>
        <w:ind/>
        <w:jc w:val="right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ДОПУСКАЮ К ЗАЩИТЕ</w:t>
      </w:r>
      <w:r/>
    </w:p>
    <w:p w14:paraId="5EA109F6" w14:textId="77777777">
      <w:pPr>
        <w:pStyle w:val="1067"/>
        <w:pBdr/>
        <w:spacing w:line="240" w:lineRule="auto"/>
        <w:ind/>
        <w:jc w:val="right"/>
        <w:rPr/>
      </w:pPr>
      <w:r>
        <w:rPr>
          <w:rFonts w:eastAsia="Times New Roman" w:cs="Times New Roman"/>
          <w:sz w:val="28"/>
          <w:szCs w:val="28"/>
        </w:rPr>
        <w:t xml:space="preserve">Заместитель директора по УМР</w:t>
      </w:r>
      <w:r/>
    </w:p>
    <w:p w14:paraId="6EE4F02D" w14:textId="77777777">
      <w:pPr>
        <w:pStyle w:val="1067"/>
        <w:pBdr/>
        <w:spacing w:line="240" w:lineRule="auto"/>
        <w:ind/>
        <w:jc w:val="right"/>
        <w:rPr/>
      </w:pPr>
      <w:r>
        <w:rPr>
          <w:rFonts w:eastAsia="Times New Roman" w:cs="Times New Roman"/>
          <w:sz w:val="28"/>
          <w:szCs w:val="28"/>
        </w:rPr>
        <w:t xml:space="preserve">____________ А.В. Васильева</w:t>
      </w:r>
      <w:r/>
    </w:p>
    <w:p w14:paraId="4322A392" w14:textId="77777777">
      <w:pPr>
        <w:pStyle w:val="1067"/>
        <w:pBdr/>
        <w:spacing w:after="600" w:before="0" w:line="240" w:lineRule="auto"/>
        <w:ind/>
        <w:jc w:val="right"/>
        <w:rPr/>
      </w:pPr>
      <w:r>
        <w:rPr>
          <w:rFonts w:eastAsia="Times New Roman" w:cs="Times New Roman"/>
          <w:sz w:val="28"/>
          <w:szCs w:val="28"/>
        </w:rPr>
        <w:t xml:space="preserve">«____» _____________ 202__ г.</w:t>
      </w:r>
      <w:r/>
    </w:p>
    <w:p w14:paraId="3691DA74" w14:textId="77777777">
      <w:pPr>
        <w:pStyle w:val="1067"/>
        <w:pBdr/>
        <w:spacing w:after="18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36"/>
          <w:szCs w:val="36"/>
        </w:rPr>
        <w:t xml:space="preserve">ДИПЛОМНАЯ РАБОТА</w:t>
      </w:r>
      <w:r/>
    </w:p>
    <w:p w14:paraId="4B11F409" w14:textId="77777777">
      <w:pPr>
        <w:pStyle w:val="1067"/>
        <w:pBdr/>
        <w:spacing w:after="120" w:before="0" w:line="360" w:lineRule="auto"/>
        <w:ind/>
        <w:jc w:val="center"/>
        <w:rPr/>
      </w:pPr>
      <w:r>
        <w:rPr>
          <w:rFonts w:eastAsia="Times New Roman" w:cs="Times New Roman"/>
          <w:b w:val="0"/>
          <w:bCs w:val="0"/>
          <w:sz w:val="28"/>
          <w:szCs w:val="28"/>
        </w:rPr>
        <w:t xml:space="preserve">на тему:</w:t>
      </w:r>
      <w:r/>
    </w:p>
    <w:p w14:paraId="74A3608F" w14:textId="77777777">
      <w:pPr>
        <w:pStyle w:val="1067"/>
        <w:pBdr/>
        <w:spacing w:after="600" w:before="0" w:line="360" w:lineRule="auto"/>
        <w:ind/>
        <w:jc w:val="center"/>
        <w:rPr/>
      </w:pPr>
      <w:r>
        <w:rPr>
          <w:rFonts w:eastAsia="Times New Roman" w:cs="Times New Roman"/>
          <w:b/>
          <w:bCs/>
          <w:sz w:val="32"/>
          <w:szCs w:val="32"/>
        </w:rPr>
        <w:t xml:space="preserve">«Мониторинг локально-вычислительной сети»</w:t>
      </w:r>
      <w:r/>
    </w:p>
    <w:p w14:paraId="58A09C74" w14:textId="77777777">
      <w:pPr>
        <w:pStyle w:val="1067"/>
        <w:pBdr/>
        <w:tabs>
          <w:tab w:val="clear" w:leader="none" w:pos="720"/>
          <w:tab w:val="right" w:leader="none" w:pos="9000"/>
        </w:tabs>
        <w:spacing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Выполнил студент группы 222СА</w:t>
      </w:r>
      <w:r>
        <w:tab/>
      </w:r>
      <w:r>
        <w:rPr>
          <w:rFonts w:eastAsia="Times New Roman" w:cs="Times New Roman"/>
          <w:sz w:val="28"/>
          <w:szCs w:val="28"/>
        </w:rPr>
        <w:t xml:space="preserve"> ____________ ____________________</w:t>
      </w:r>
      <w:r/>
    </w:p>
    <w:p w14:paraId="4E511A6F" w14:textId="77777777">
      <w:pPr>
        <w:pStyle w:val="1067"/>
        <w:pBdr/>
        <w:spacing w:after="180" w:before="0"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                                                       </w:t>
      </w:r>
      <w:r>
        <w:rPr>
          <w:rFonts w:eastAsia="Times New Roman" w:cs="Times New Roman"/>
          <w:i/>
          <w:iCs/>
          <w:sz w:val="20"/>
          <w:szCs w:val="20"/>
        </w:rPr>
        <w:t xml:space="preserve">(подпись, дата)              (Ф.И.О.)</w:t>
      </w:r>
      <w:r/>
    </w:p>
    <w:p w14:paraId="7123D671" w14:textId="77777777">
      <w:pPr>
        <w:pStyle w:val="1067"/>
        <w:pBdr/>
        <w:spacing w:after="180" w:before="0"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Специальность: 09.02.06 «Сетевое и системное администрирование»</w:t>
      </w:r>
      <w:r/>
    </w:p>
    <w:p w14:paraId="78BD9F83" w14:textId="77777777">
      <w:pPr>
        <w:pStyle w:val="1067"/>
        <w:pBdr/>
        <w:spacing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Руководитель дипломного проекта: Егорова А.А. ____________</w:t>
      </w:r>
      <w:r/>
    </w:p>
    <w:p w14:paraId="24D5EDD6" w14:textId="77777777">
      <w:pPr>
        <w:pStyle w:val="1067"/>
        <w:pBdr/>
        <w:spacing w:after="300" w:before="0"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                                                                                 </w:t>
      </w:r>
      <w:r>
        <w:rPr>
          <w:rFonts w:eastAsia="Times New Roman" w:cs="Times New Roman"/>
          <w:i/>
          <w:iCs/>
          <w:sz w:val="20"/>
          <w:szCs w:val="20"/>
        </w:rPr>
        <w:t xml:space="preserve">(подпись, дата)</w:t>
      </w:r>
      <w:r/>
    </w:p>
    <w:p w14:paraId="1C7A51BE" w14:textId="77777777">
      <w:pPr>
        <w:pStyle w:val="1067"/>
        <w:pBdr/>
        <w:spacing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Работа защищена: «____» _____________ 20___ г.</w:t>
      </w:r>
      <w:r/>
    </w:p>
    <w:p w14:paraId="0C0AF82D" w14:textId="77777777">
      <w:pPr>
        <w:pStyle w:val="1067"/>
        <w:pBdr/>
        <w:spacing w:after="600" w:before="0" w:line="240" w:lineRule="auto"/>
        <w:ind/>
        <w:rPr/>
      </w:pPr>
      <w:r>
        <w:rPr>
          <w:rFonts w:eastAsia="Times New Roman" w:cs="Times New Roman"/>
          <w:sz w:val="28"/>
          <w:szCs w:val="28"/>
        </w:rPr>
        <w:t xml:space="preserve">с оценкой: ___________________________</w:t>
      </w:r>
      <w:r/>
    </w:p>
    <w:p w14:paraId="527A1B93" w14:textId="77777777">
      <w:pPr>
        <w:pStyle w:val="1067"/>
        <w:pBdr/>
        <w:spacing w:after="0" w:before="0" w:line="360" w:lineRule="auto"/>
        <w:ind/>
        <w:jc w:val="center"/>
        <w:rPr/>
        <w:sectPr>
          <w:headerReference w:type="default" r:id="rId10"/>
          <w:headerReference w:type="even" r:id="rId11"/>
          <w:headerReference w:type="first" r:id="rId12"/>
          <w:footerReference w:type="default" r:id="rId15"/>
          <w:footerReference w:type="even" r:id="rId16"/>
          <w:footerReference w:type="first" r:id="rId17"/>
          <w:footnotePr/>
          <w:endnotePr/>
          <w:type w:val="nextPage"/>
          <w:pgSz w:h="16838" w:orient="portrait" w:w="11906"/>
          <w:pgMar w:top="1134" w:right="850" w:bottom="1134" w:left="1701" w:header="708" w:footer="708" w:gutter="0"/>
          <w:cols w:num="1" w:sep="0" w:space="1701" w:equalWidth="1"/>
          <w:titlePg/>
        </w:sectPr>
      </w:pPr>
      <w:r>
        <w:rPr>
          <w:rFonts w:eastAsia="Times New Roman" w:cs="Times New Roman"/>
          <w:b w:val="0"/>
          <w:bCs w:val="0"/>
          <w:sz w:val="28"/>
          <w:szCs w:val="28"/>
        </w:rPr>
        <w:t xml:space="preserve">Новосибирск 2026</w:t>
      </w:r>
      <w:r>
        <w:br w:type="page" w:clear="all"/>
      </w:r>
      <w:r/>
    </w:p>
    <w:p w14:paraId="672A6659" w14:textId="77777777">
      <w:pPr>
        <w:pStyle w:val="1068"/>
        <w:pBdr/>
        <w:spacing w:after="0" w:afterAutospacing="0" w:before="0" w:beforeAutospacing="0" w:line="360" w:lineRule="auto"/>
        <w:ind/>
        <w:jc w:val="center"/>
        <w:rPr/>
      </w:pPr>
      <w:r/>
      <w:r/>
    </w:p>
    <w:p w14:paraId="5BA24CAF" w14:textId="77777777">
      <w:pPr>
        <w:pStyle w:val="1068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38" w:name="_Toc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Содержание</w:t>
      </w:r>
      <w:bookmarkEnd w:id="3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sdtPr>
      <w:sdtContent>
        <w:p w14:paraId="72E02BE4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rFonts w:eastAsia="Times New Roman" w:cs="Times New Roman"/>
              <w:color w:val="auto"/>
              <w:sz w:val="28"/>
              <w:szCs w:val="28"/>
              <w:lang w:val="ru-RU" w:bidi="ru-RU"/>
            </w:rPr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TOC \o "1-3" \t "Heading 1,1,Heading 2,2,Heading 3,3" </w:instrText>
          </w:r>
          <w:r>
            <w:rPr>
              <w:b w:val="0"/>
              <w:bCs w:val="0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Содержание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 \h</w:instrText>
            <w:fldChar w:fldCharType="separate"/>
          </w:r>
          <w:r>
            <w:rPr>
              <w:b w:val="0"/>
              <w:bCs w:val="0"/>
            </w:rPr>
            <w:t xml:space="preserve">2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0A4E9DCD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ВВЕДЕНИЕ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 \h</w:instrText>
            <w:fldChar w:fldCharType="separate"/>
          </w:r>
          <w:r>
            <w:rPr>
              <w:b w:val="0"/>
              <w:bCs w:val="0"/>
            </w:rPr>
            <w:t xml:space="preserve">4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16690CDD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Общее понятие цели и задачи дипломной работы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 \h</w:instrText>
            <w:fldChar w:fldCharType="separate"/>
          </w:r>
          <w:r>
            <w:rPr>
              <w:b w:val="0"/>
              <w:bCs w:val="0"/>
            </w:rPr>
            <w:t xml:space="preserve">4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1177101A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Предмет исследования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_Toc4 \h</w:instrText>
            <w:fldChar w:fldCharType="separate"/>
          </w:r>
          <w:r>
            <w:rPr>
              <w:b w:val="0"/>
              <w:bCs w:val="0"/>
            </w:rPr>
            <w:t xml:space="preserve">5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719467ED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Объект исследования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_Toc5 \h</w:instrText>
            <w:fldChar w:fldCharType="separate"/>
          </w:r>
          <w:r>
            <w:rPr>
              <w:b w:val="0"/>
              <w:bCs w:val="0"/>
            </w:rPr>
            <w:t xml:space="preserve">5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5789526E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Задачи работы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_Toc6 \h</w:instrText>
            <w:fldChar w:fldCharType="separate"/>
          </w:r>
          <w:r>
            <w:rPr>
              <w:b w:val="0"/>
              <w:bCs w:val="0"/>
            </w:rPr>
            <w:t xml:space="preserve">5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70750FAC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Методы исследования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_Toc7 \h</w:instrText>
            <w:fldChar w:fldCharType="separate"/>
          </w:r>
          <w:r>
            <w:rPr>
              <w:b w:val="0"/>
              <w:bCs w:val="0"/>
            </w:rPr>
            <w:t xml:space="preserve">6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A8A133A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Практическая значимость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_Toc8 \h</w:instrText>
            <w:fldChar w:fldCharType="separate"/>
          </w:r>
          <w:r>
            <w:rPr>
              <w:b w:val="0"/>
              <w:bCs w:val="0"/>
            </w:rPr>
            <w:t xml:space="preserve">6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6DD8FE4E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ГЛАВА 1. ТЕОРЕТИЧЕСКИЕ ОСНОВЫ ОРГАНИЗАЦИИ И МОНИТОРИНГА ЛОКАЛЬНОЙ 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_Toc9 \h</w:instrText>
            <w:fldChar w:fldCharType="separate"/>
          </w:r>
          <w:r>
            <w:rPr>
              <w:b w:val="0"/>
              <w:bCs w:val="0"/>
            </w:rPr>
            <w:t xml:space="preserve">7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5BFFF219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1.1 Архитектура локальной 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_Toc10 \h</w:instrText>
            <w:fldChar w:fldCharType="separate"/>
          </w:r>
          <w:r>
            <w:rPr>
              <w:b w:val="0"/>
              <w:bCs w:val="0"/>
            </w:rPr>
            <w:t xml:space="preserve">8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DF6C6F7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1.1.1 Физические компоненты л</w:t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  <w:t xml:space="preserve">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_Toc11 \h</w:instrText>
            <w:fldChar w:fldCharType="separate"/>
          </w:r>
          <w:r>
            <w:rPr>
              <w:b w:val="0"/>
              <w:bCs w:val="0"/>
            </w:rPr>
            <w:t xml:space="preserve">8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</w:p>
        <w:p w14:paraId="1B9B741B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1.1.2 Логические компоненты локально-вычислительной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_Toc12 \h</w:instrText>
            <w:fldChar w:fldCharType="separate"/>
          </w:r>
          <w:r>
            <w:rPr>
              <w:b w:val="0"/>
              <w:bCs w:val="0"/>
            </w:rPr>
            <w:t xml:space="preserve">9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</w:p>
        <w:p w14:paraId="4BC71A3B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1.2 Методы передачи данных в локально-вычислительной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_Toc13 \h</w:instrText>
            <w:fldChar w:fldCharType="separate"/>
          </w:r>
          <w:r>
            <w:rPr>
              <w:b w:val="0"/>
              <w:bCs w:val="0"/>
            </w:rPr>
            <w:t xml:space="preserve">11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6F22227E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1.3 Программное обеспечение серверной инфраструктуры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_Toc14 \h</w:instrText>
            <w:fldChar w:fldCharType="separate"/>
          </w:r>
          <w:r>
            <w:rPr>
              <w:b w:val="0"/>
              <w:bCs w:val="0"/>
            </w:rPr>
            <w:t xml:space="preserve">11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92B0ADB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1.4 Программное обеспечение рабочих станций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_Toc15 \h</w:instrText>
            <w:fldChar w:fldCharType="separate"/>
          </w:r>
          <w:r>
            <w:rPr>
              <w:b w:val="0"/>
              <w:bCs w:val="0"/>
            </w:rPr>
            <w:t xml:space="preserve">13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1784EE2E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1.5 Понятие и назначение системы мониторинга локально-вычислительной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_Toc16 \h</w:instrText>
            <w:fldChar w:fldCharType="separate"/>
          </w:r>
          <w:r>
            <w:rPr>
              <w:b w:val="0"/>
              <w:bCs w:val="0"/>
            </w:rPr>
            <w:t xml:space="preserve">14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</w:rPr>
          </w:r>
        </w:p>
        <w:p w14:paraId="3C993A97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ГЛАВА 2. АНАЛИЗ СУЩЕСТВУЮЩИХ РЕШЕНИЙ ДЛЯ МОНИТОРИНГА ЛОКАЛЬНО-ВЫЧИСЛИТЕЛЬНОЙ СЕТИ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_Toc17 \h</w:instrText>
            <w:fldChar w:fldCharType="separate"/>
          </w:r>
          <w:r>
            <w:rPr>
              <w:b w:val="0"/>
              <w:bCs w:val="0"/>
            </w:rPr>
            <w:t xml:space="preserve">16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7FC1339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2.1 Обзор современных систем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_Toc18 \h</w:instrText>
            <w:fldChar w:fldCharType="separate"/>
          </w:r>
          <w:r>
            <w:rPr>
              <w:b w:val="0"/>
              <w:bCs w:val="0"/>
            </w:rPr>
            <w:t xml:space="preserve">16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22224952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2.1.1 Свободно распространяемые системы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_Toc19 \h</w:instrText>
            <w:fldChar w:fldCharType="separate"/>
          </w:r>
          <w:r>
            <w:rPr>
              <w:b w:val="0"/>
              <w:bCs w:val="0"/>
            </w:rPr>
            <w:t xml:space="preserve">16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6A33C5FF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2.1.2 Проприетарные корпоративные решения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_Toc20 \h</w:instrText>
            <w:fldChar w:fldCharType="separate"/>
          </w:r>
          <w:r>
            <w:rPr>
              <w:b w:val="0"/>
              <w:bCs w:val="0"/>
            </w:rPr>
            <w:t xml:space="preserve">18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21CBC7D3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2.1.3 Облачные решения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_Toc21 \h</w:instrText>
            <w:fldChar w:fldCharType="separate"/>
          </w:r>
          <w:r>
            <w:rPr>
              <w:b w:val="0"/>
              <w:bCs w:val="0"/>
            </w:rPr>
            <w:t xml:space="preserve">19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4DC9B1E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2.2 Критерии оценки систем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_Toc22 \h</w:instrText>
            <w:fldChar w:fldCharType="separate"/>
          </w:r>
          <w:r>
            <w:rPr>
              <w:b w:val="0"/>
              <w:bCs w:val="0"/>
            </w:rPr>
            <w:t xml:space="preserve">20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55857361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2.3 Сравнительный анализ систем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_Toc23 \h</w:instrText>
            <w:fldChar w:fldCharType="separate"/>
          </w:r>
          <w:r>
            <w:rPr>
              <w:b w:val="0"/>
              <w:bCs w:val="0"/>
            </w:rPr>
            <w:t xml:space="preserve">22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73B716C5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2.4 Обоснование выбора системы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_Toc24 \h</w:instrText>
            <w:fldChar w:fldCharType="separate"/>
          </w:r>
          <w:r>
            <w:rPr>
              <w:b w:val="0"/>
              <w:bCs w:val="0"/>
            </w:rPr>
            <w:t xml:space="preserve">23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21BC170F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ГЛАВА 3. ПРАКТИЧЕСКАЯ РЕАЛИЗАЦИЯ СИСТЕМЫ МОНИТОРИНГА НА БАЗЕ ZABBIX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_Toc25 \h</w:instrText>
            <w:fldChar w:fldCharType="separate"/>
          </w:r>
          <w:r>
            <w:rPr>
              <w:b w:val="0"/>
              <w:bCs w:val="0"/>
            </w:rPr>
            <w:t xml:space="preserve">25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60A7CC65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3.1 Описание используемой инфраструктуры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_Toc26 \h</w:instrText>
            <w:fldChar w:fldCharType="separate"/>
          </w:r>
          <w:r>
            <w:rPr>
              <w:b w:val="0"/>
              <w:bCs w:val="0"/>
            </w:rPr>
            <w:t xml:space="preserve">25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0C8E789B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3.2 Устанока серверной операционной системы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_Toc27 \h</w:instrText>
            <w:fldChar w:fldCharType="separate"/>
          </w:r>
          <w:r>
            <w:rPr>
              <w:b w:val="0"/>
              <w:bCs w:val="0"/>
            </w:rPr>
            <w:t xml:space="preserve">26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03B5058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3.3 Настройка и запуск сервера Zabbix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_Toc28 \h</w:instrText>
            <w:fldChar w:fldCharType="separate"/>
          </w:r>
          <w:r>
            <w:rPr>
              <w:b w:val="0"/>
              <w:bCs w:val="0"/>
            </w:rPr>
            <w:t xml:space="preserve">27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</w:r>
        </w:p>
        <w:p w14:paraId="57951736">
          <w:pPr>
            <w:pStyle w:val="1103"/>
            <w:pageBreakBefore w:val="true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3.4 Установка и настройка агента Zabbix на контролируемых узлах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_Toc29 \h</w:instrText>
            <w:fldChar w:fldCharType="separate"/>
          </w:r>
          <w:r>
            <w:rPr>
              <w:b w:val="0"/>
              <w:bCs w:val="0"/>
            </w:rPr>
            <w:t xml:space="preserve">31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5628645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3.5 Настройка мониторинга сетевого оборудования по SNMP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_Toc30 \h</w:instrText>
            <w:fldChar w:fldCharType="separate"/>
          </w:r>
          <w:r>
            <w:rPr>
              <w:b w:val="0"/>
              <w:bCs w:val="0"/>
            </w:rPr>
            <w:t xml:space="preserve">32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05582ACF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3.6 Настройка триггеров и оповещений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_Toc31 \h</w:instrText>
            <w:fldChar w:fldCharType="separate"/>
          </w:r>
          <w:r>
            <w:rPr>
              <w:b w:val="0"/>
              <w:bCs w:val="0"/>
            </w:rPr>
            <w:t xml:space="preserve">35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</w:r>
          <w:r>
            <w:rPr>
              <w:b w:val="0"/>
              <w:bCs w:val="0"/>
            </w:rPr>
          </w:r>
        </w:p>
        <w:p w14:paraId="1B7A9456">
          <w:pPr>
            <w:pStyle w:val="1103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3.7 Проверка работоспособности системы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_Toc32 \h</w:instrText>
            <w:fldChar w:fldCharType="separate"/>
          </w:r>
          <w:r>
            <w:rPr>
              <w:b w:val="0"/>
              <w:bCs w:val="0"/>
            </w:rPr>
            <w:t xml:space="preserve">38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5670E290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ГЛАВА 4. ЭКОНОМИЧЕСКОЕ ОБОСНОВАНИЕ ПРОЕКТА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_Toc33 \h</w:instrText>
            <w:fldChar w:fldCharType="separate"/>
          </w:r>
          <w:r>
            <w:rPr>
              <w:b w:val="0"/>
              <w:bCs w:val="0"/>
            </w:rPr>
            <w:t xml:space="preserve">41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720F627E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4.1 Состав затрат на внедрение системы мониторинга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_Toc34 \h</w:instrText>
            <w:fldChar w:fldCharType="separate"/>
          </w:r>
          <w:r>
            <w:rPr>
              <w:b w:val="0"/>
              <w:bCs w:val="0"/>
            </w:rPr>
            <w:t xml:space="preserve">41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46C12CC5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4.2 Расчёт стоимости внедрения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_Toc35 \h</w:instrText>
            <w:fldChar w:fldCharType="separate"/>
          </w:r>
          <w:r>
            <w:rPr>
              <w:b w:val="0"/>
              <w:bCs w:val="0"/>
            </w:rPr>
            <w:t xml:space="preserve">42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7DA4606">
          <w:pPr>
            <w:pStyle w:val="1103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4.4 Оценка экономической эффективности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_Toc36 \h</w:instrText>
            <w:fldChar w:fldCharType="separate"/>
          </w:r>
          <w:r>
            <w:rPr>
              <w:b w:val="0"/>
              <w:bCs w:val="0"/>
            </w:rPr>
            <w:t xml:space="preserve">43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00DAE82">
          <w:pPr>
            <w:pStyle w:val="1102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ЗАКЛЮЧЕНИЕ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_Toc37 \h</w:instrText>
            <w:fldChar w:fldCharType="separate"/>
          </w:r>
          <w:r>
            <w:rPr>
              <w:b w:val="0"/>
              <w:bCs w:val="0"/>
            </w:rPr>
            <w:t xml:space="preserve">45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210D684D">
          <w:pPr>
            <w:pStyle w:val="1102"/>
            <w:keepLines w:val="false"/>
            <w:suppressLineNumbers w:val="false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 w:val="0"/>
              <w:bCs w:val="0"/>
            </w:rPr>
          </w:pPr>
          <w:r>
            <w:rPr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  <w:t xml:space="preserve">СПИСОК ИСПОЛЬЗОВАННЫХ ИСТОЧНИКОВ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  <w:instrText xml:space="preserve">PAGEREF _Toc38 \h</w:instrText>
            <w:fldChar w:fldCharType="separate"/>
          </w:r>
          <w:r>
            <w:rPr>
              <w:b w:val="0"/>
              <w:bCs w:val="0"/>
            </w:rPr>
            <w:t xml:space="preserve">47</w:t>
          </w:r>
          <w:r>
            <w:rPr>
              <w:b w:val="0"/>
              <w:bCs w:val="0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  <w:r>
            <w:rPr>
              <w:rFonts w:ascii="Times New Roman" w:hAnsi="Times New Roman" w:eastAsia="Times New Roman" w:cs="Times New Roman"/>
              <w:b w:val="0"/>
              <w:bCs w:val="0"/>
            </w:rPr>
          </w:r>
        </w:p>
        <w:p w14:paraId="32378546">
          <w:pPr>
            <w:pBdr/>
            <w:spacing/>
            <w:ind/>
            <w:rPr>
              <w:rFonts w:eastAsia="Times New Roman" w:cs="Times New Roman"/>
              <w:b w:val="0"/>
              <w:bCs w:val="0"/>
              <w:color w:val="auto"/>
              <w:sz w:val="28"/>
              <w:szCs w:val="28"/>
            </w:rPr>
          </w:pPr>
          <w:r>
            <w:rPr>
              <w:b w:val="0"/>
              <w:bCs w:val="0"/>
            </w:rPr>
          </w:r>
          <w:r>
            <w:rPr>
              <w:b w:val="0"/>
              <w:bCs w:val="0"/>
            </w:rPr>
            <w:fldChar w:fldCharType="end"/>
          </w:r>
          <w:r>
            <w:rPr>
              <w:rFonts w:eastAsia="Times New Roman" w:cs="Times New Roman"/>
              <w:b w:val="0"/>
              <w:bCs w:val="0"/>
              <w:color w:val="auto"/>
              <w:sz w:val="28"/>
              <w:szCs w:val="28"/>
            </w:rPr>
          </w:r>
          <w:r>
            <w:rPr>
              <w:rFonts w:eastAsia="Times New Roman" w:cs="Times New Roman"/>
              <w:b w:val="0"/>
              <w:bCs w:val="0"/>
              <w:color w:val="auto"/>
              <w:sz w:val="28"/>
              <w:szCs w:val="28"/>
            </w:rPr>
          </w:r>
        </w:p>
      </w:sdtContent>
    </w:sdt>
    <w:p w14:paraId="645A14DF">
      <w:pPr>
        <w:pStyle w:val="1067"/>
        <w:widowControl w:val="true"/>
        <w:pBdr/>
        <w:bidi w:val="false"/>
        <w:spacing w:after="0" w:before="0"/>
        <w:ind/>
        <w:jc w:val="left"/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pP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</w:p>
    <w:p w14:paraId="72F8407C">
      <w:pPr>
        <w:pStyle w:val="1067"/>
        <w:widowControl w:val="true"/>
        <w:pBdr/>
        <w:bidi w:val="false"/>
        <w:spacing w:after="0" w:before="0"/>
        <w:ind/>
        <w:jc w:val="left"/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pP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  <w:r>
        <w:br w:type="page" w:clear="all"/>
      </w: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  <w:r>
        <w:rPr>
          <w:rFonts w:eastAsia="Times New Roman" w:cs="Times New Roman"/>
          <w:color w:val="auto"/>
          <w:sz w:val="28"/>
          <w:szCs w:val="28"/>
          <w:lang w:val="ru-RU" w:eastAsia="zh-CN" w:bidi="hi-IN"/>
        </w:rPr>
      </w:r>
    </w:p>
    <w:p w14:paraId="6A1BCE6E" w14:textId="77777777">
      <w:pPr>
        <w:pStyle w:val="1068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39" w:name="_Toc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ВВЕДЕНИЕ</w:t>
      </w:r>
      <w:bookmarkEnd w:id="3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CD72A4A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Современные локальные вычислительные сети (далее — ЛВС) являются основой функционирования бол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ьшинства организаций и предприятий, обеспечивая обмен данными между сотрудниками, работу информационных систем, доступ к корпоративным ресурсам и бесперебойное функционирование бизнес-сервисов. С каждым годом объёмы передаваемых данных растут, количество 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етевого оборудования увеличивается, а сама инфраструктура становится всё более сложной и распределённой. В этих условиях возрастает потребность в эффективных средствах контроля состояния сетевых компонентов и своевременного выявления возникающих неполадок.</w:t>
      </w:r>
      <w:r>
        <w:rPr>
          <w:color w:val="auto"/>
        </w:rPr>
      </w:r>
      <w:r>
        <w:rPr>
          <w:color w:val="auto"/>
        </w:rPr>
      </w:r>
    </w:p>
    <w:p w14:paraId="4174DC95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Одним из ключевых инструментов обеспечения стабильности работы ЛВС является система мо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ниторинга. Подобные системы позволяют отслеживать работоспособность серверов, активного сетевого оборудования, рабочих станций, сетевых сервисов и приложений в режиме реального времени, формировать уведомления о сбоях, анализировать производительность инфр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аструктуры и предотвращать возникновение критических инцидентов. Благодаря системе мониторинга администратор получает целостное представление о состоянии IT-инфраструктуры предприятия и может оперативно реагировать на любые отклонения от нормальной работы.</w:t>
      </w:r>
      <w:r>
        <w:rPr>
          <w:color w:val="auto"/>
        </w:rPr>
      </w:r>
      <w:r>
        <w:rPr>
          <w:color w:val="auto"/>
        </w:rPr>
      </w:r>
    </w:p>
    <w:p w14:paraId="02376867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Актуальность темы дипломного проекта обусловлена тем, что современные предприятия зависят от стабильной работы IT-инфраструктуры. Простой даже од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ного сетевого узла может привести к остановке рабочих процессов, финансовым потерям и снижению лояльности клиентов. По этой причине вопрос выбора и грамотного внедрения системы мониторинга, отвечающей задачам конкретной организации, является крайне важным.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1BB8E21" w14:textId="77777777">
      <w:pPr>
        <w:pStyle w:val="1069"/>
        <w:pageBreakBefore w:val="false"/>
        <w:suppressLineNumbers w:val="false"/>
        <w:pBdr/>
        <w:spacing w:after="0" w:afterAutospacing="0" w:before="0" w:beforeAutospacing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0" w:name="_Toc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Общее понятие цели и задачи дипломной работы</w:t>
      </w:r>
      <w:bookmarkEnd w:id="4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8FE6B91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Целью данной дипломной работы является 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зучение и сравнительный анализ современных систем мониторинга локальной вычислительной сети, а также практическое внедрение выбранной системы мониторинга на тестовый стенд для подтверждения её работоспособности и оценки экономической эффективности проекта.</w:t>
      </w:r>
      <w:r/>
    </w:p>
    <w:p w14:paraId="2783AB42" w14:textId="77777777">
      <w:pPr>
        <w:pStyle w:val="1069"/>
        <w:pageBreakBefore w:val="false"/>
        <w:suppressLineNumbers w:val="false"/>
        <w:pBdr/>
        <w:spacing w:after="0" w:afterAutospacing="0" w:before="0" w:beforeAutospacing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1" w:name="_Toc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Предмет исследования</w:t>
      </w:r>
      <w:bookmarkEnd w:id="4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0F886F2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Предметом исследования являются программные средства мониторинга ЛВС, а также методы и протоколы (SNMP, ICMP, агентные технологии), используемые для контроля состояния сетевых устройств, серверов и сервисов.</w:t>
      </w:r>
      <w:r/>
    </w:p>
    <w:p w14:paraId="4D551BF8" w14:textId="77777777">
      <w:pPr>
        <w:pStyle w:val="1069"/>
        <w:pageBreakBefore w:val="false"/>
        <w:suppressLineNumbers w:val="false"/>
        <w:pBdr/>
        <w:spacing w:after="0" w:afterAutospacing="0" w:before="0" w:beforeAutospacing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2" w:name="_Toc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Объект исследования</w:t>
      </w:r>
      <w:bookmarkEnd w:id="4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05E4F48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Объектом исследования является локальная вычислительная сеть и комплекс программно-аппаратных средств мониторинга, включающий сервер мониторинга, агентов сбора данных, базу данных хранения метрик и контролируемые сетевые устройства.</w:t>
      </w:r>
      <w:r/>
    </w:p>
    <w:p w14:paraId="5235DFC2" w14:textId="77777777">
      <w:pPr>
        <w:pStyle w:val="1069"/>
        <w:pageBreakBefore w:val="false"/>
        <w:suppressLineNumbers w:val="false"/>
        <w:pBdr/>
        <w:spacing w:after="0" w:afterAutospacing="0" w:before="0" w:beforeAutospacing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3" w:name="_Toc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Задачи работы</w:t>
      </w:r>
      <w:bookmarkEnd w:id="4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3B0AF09" w14:textId="77777777">
      <w:pPr>
        <w:pStyle w:val="1067"/>
        <w:pageBreakBefore w:val="false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Для достижения поставленной цели в дипломном проекте необходимо решить следующие задачи: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291A5E2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изучить научную литературу, учебные материалы и интернет-источники, посвящённые мониторингу сетей и принципам работы систем мониторинга;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DD99D50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проанализировать архитектуру локальной вычислительной сети, её физические и логические компоненты, программное обеспечение серверной и клиентской частей;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F89647E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рассмотреть существующие на рынке решения по мониторингу ЛВС, как свободно распространяемые, так и проприетарные;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465C727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подобрать критерии для объективной оценки систем мониторинга;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48C9F9A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провести сравнительный анализ систем мониторинга по выбранным критериям и обосновать выбор оптимальной системы для практической реализации;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8766263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развернуть и настроить выбранную систему мониторинга на тестовой инфраструктуре, подключить контролируемые узлы и продемонстрировать работоспособность системы;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5630FD2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—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рассчитать экономическую составляющую внедрения системы мониторинга;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2373E4B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bookmarkStart w:id="44" w:name="_Toc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Методы исследования</w:t>
      </w:r>
      <w:bookmarkEnd w:id="44"/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262E5AB6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ходе выполнения дипломного проекта применялись следующие методы: анализ литературы и официальной до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кументации производителей систем мониторинга; сравнительный анализ программных решений по заданным критериям; метод эксперимента — практическая установка и настройка системы мониторинга на тестовом стенде; обобщение и систематизация полученных результатов.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0537210" w14:textId="77777777">
      <w:pPr>
        <w:pStyle w:val="1069"/>
        <w:pageBreakBefore w:val="false"/>
        <w:suppressLineNumbers w:val="false"/>
        <w:pBdr/>
        <w:spacing w:after="0" w:afterAutospacing="0" w:before="0" w:beforeAutospacing="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45" w:name="_Toc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Практическая значимость</w:t>
      </w:r>
      <w:bookmarkEnd w:id="4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2004F31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Практическая значимость работы состоит в том, что результаты сравнительного анализа и пошаговая методика развёртывания системы мониторинга мо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гут быть использованы системными администраторами малых и средних предприятий при выборе и внедрении средств контроля IT-инфраструктуры. Подготовленные в рамках дипломного проекта конфигурации и шаблоны могут служить готовым решением для аналогичных задач.</w:t>
      </w:r>
      <w:r>
        <w:rPr>
          <w:rFonts w:eastAsia="Times New Roman" w:cs="Times New Roman"/>
          <w:b/>
          <w:bCs/>
          <w:color w:val="auto"/>
          <w:sz w:val="28"/>
          <w:szCs w:val="28"/>
        </w:rPr>
      </w:r>
      <w:r>
        <w:rPr>
          <w:rFonts w:eastAsia="Times New Roman" w:cs="Times New Roman"/>
          <w:b/>
          <w:bCs/>
          <w:color w:val="auto"/>
          <w:sz w:val="28"/>
          <w:szCs w:val="28"/>
        </w:rPr>
      </w:r>
    </w:p>
    <w:p w14:paraId="41C8F396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br w:type="page" w:clear="all"/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2A3D3EC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AAB0BD4" w14:textId="77777777">
      <w:pPr>
        <w:pStyle w:val="1068"/>
        <w:pageBreakBefore w:val="false"/>
        <w:suppressLineNumbers w:val="false"/>
        <w:pBdr/>
        <w:spacing w:after="0" w:afterAutospacing="0" w:before="0" w:beforeAutospacing="0" w:line="360" w:lineRule="auto"/>
        <w:ind w:firstLine="0"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46" w:name="_Toc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ГЛАВА 1. ТЕОРЕТИЧЕСКИЕ ОСНОВЫ ОРГАНИЗАЦИИ И МОНИТОРИНГА ЛОКАЛЬНОЙ ВЫЧИСЛИТЕЛЬНОЙ СЕТИ</w:t>
      </w:r>
      <w:bookmarkEnd w:id="4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CE4B492">
      <w:pPr>
        <w:pStyle w:val="1068"/>
        <w:pageBreakBefore w:val="false"/>
        <w:suppressLineNumbers w:val="false"/>
        <w:pBdr/>
        <w:spacing w:after="0" w:afterAutospacing="0" w:before="0" w:beforeAutospacing="0" w:line="360" w:lineRule="auto"/>
        <w:ind w:firstLine="0"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0DB2EEE7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Локальная вычислительная сеть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(ЛВС) представляет собой совокупность взаимосвязанных вычислительных устройств, расположенных в пределах ограниченной географической территории — отдельного помещения, здания или группы соседних зданий — и объединённых общей средой передачи данных. Типичн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ые примеры ЛВС: офисная сеть предприятия, сеть учебного заведения, сеть жилого дома или квартиры. Главная отличительная черта ЛВС от глобальных сетей — небольшие расстояния между узлами, высокая скорость обмена данными и единое административное управление.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291BC4D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Основной целью функционирования ЛВС является обеспечение совместного использования информационных и аппаратных ресурсов: серверов, сетевых принтеров, систем хранени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я данных, корпоративных приложений и сервисов. Параллельно с этим ЛВС решает задачи централизованного управления учётными записями пользователей, обеспечения информационной безопасности, разграничения прав доступа к данным и распределения сетевой нагрузки.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8B508CF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составе любой ЛВС принято выделять три основные группы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элементов: оконечное оборудование (рабочие станции, серверы, принтеры и иные устройства), активное сетевое оборудование (коммутаторы, маршрутизаторы, точки беспроводного доступа, межсетевые экраны), а также пассивное оборудование и кабельную инфраструктур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у (кабели витой пары и оптоволокно, патч-панели, розетки, кроссы и кабельные каналы). Совокупность перечисленных элементов формирует физическую инфраструктуру сети, а правила их взаимодействия задаются на логическом уровне через сетевые протоколы и службы.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5D364D02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r>
    </w:p>
    <w:p w14:paraId="66D6F054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850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>
        <w:rPr>
          <w:highlight w:val="none"/>
        </w:rPr>
      </w:r>
      <w:bookmarkStart w:id="47" w:name="_Toc1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  <w:t xml:space="preserve">1.1 Архитектура локальной вычислительной сети</w:t>
      </w:r>
      <w:bookmarkEnd w:id="4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11F68044">
      <w:pPr>
        <w:pStyle w:val="1069"/>
        <w:pageBreakBefore w:val="false"/>
        <w:suppressLineNumbers w:val="false"/>
        <w:pBdr/>
        <w:spacing w:after="0" w:afterLines="0" w:before="0" w:beforeLines="0" w:line="360" w:lineRule="auto"/>
        <w:ind w:firstLine="850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6AE8E43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Архитектура ЛВС описывает способ организации сетевых компонентов и определяет правила их взаимодействия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Под архитектурой понимается совокупность аппаратных, программных и логических решений, обеспечивающих функционирование сети в целом. Все элементы архитектуры можно условно разделить на две большие категории: физические компоненты и логические компоненты.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3E1DFE3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567C41FA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pPr>
      <w:r/>
      <w:bookmarkStart w:id="48" w:name="_Toc1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1.1.1 Физические компоненты л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  <w:t xml:space="preserve">окально-вычислительной сети</w:t>
      </w:r>
      <w:bookmarkEnd w:id="48"/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</w:p>
    <w:p w14:paraId="15E21359">
      <w:pPr>
        <w:pStyle w:val="1069"/>
        <w:pageBreakBefore w:val="false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</w:p>
    <w:p w14:paraId="7FA2F4F5" w14:textId="77777777">
      <w:pPr>
        <w:pStyle w:val="1067"/>
        <w:pageBreakBefore w:val="false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 физическим компонентам относятся материальные объекты, образующие техническую основу сети.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5DFA7CB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Оконечные устройства пользователей. Рабочие станции — это персональные компьютеры, ноутбуки, т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онкие клиенты и моноблоки, на которых пользователи выполняют свои производственные задачи. Подключение оконечного оборудования к сети осуществляется проводным способом по технологии Ethernet или беспроводным — через стандарты семейства IEEE 802.11 (Wi-Fi).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10711F8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Серверы. Серверы выполняют в ЛВС роль централизованных поставщиков сервисов: хранят файлы и базы данных, обслуживают веб-при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ложения и почтовые системы, реализуют функции контроллеров домена и центров аутентификации, обеспечивают резервное копирование и контроль доступа. Сервер может быть выделенным физическим устройством, виртуальной машиной либо контейнером в составе кластера.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818A629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Активное сетевое оборудование. Коммутаторы (Switch) обеспечивают передачу кадров на канальном уровне модели OSI на ос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нове MAC-адресов, формируя эффективную внутреннюю топологию сегмента сети. Маршрутизаторы (Router) работают на сетевом уровне и обеспечивают подключение ЛВС к внешним сетям, включая Интернет, а также маршрутизацию пакетов между различными подсетями. Точки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беспроводного доступа (Access Point) обеспечивают подключение мобильных устройств к проводной инфраструктуре по протоколам Wi-Fi. К активному оборудованию также относятся межсетевые экраны и устройства класса UTM, выполняющие функции защиты периметра сети.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3154E54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Системы хранения данных. Сетевые системы хранения данных используются для централизованного хранения файлов, образов виртуальных машин, резервных копий и иной критичной информации. Различают два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основных класса таких систем: NAS (Network Attached Storage) — хранилища, работающие на файловом уровне по протоколам SMB/CIFS и NFS, и SAN (Storage Area Network) — выделенные сети хранения на блочном уровне, использующие протоколы Fibre Channel или iSCSI.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0AF2EBE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Кабельная система. Для построения проводной части ЛВС применяются следую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щие типы кабелей: витая пара различных категорий (Cat 5e, Cat 6, Cat 6a, Cat 7) — наиболее распространённый вариант для подключения рабочих станций к коммутаторам уровня доступа; оптоволоконный кабель (одномодовый и многомодовый) — применяется на магистрал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ьных участках и при необходимости передачи данных на большие расстояния, а также при высоких требованиях к пропускной способности. Дополнительными элементами кабельной системы являются патч-панели, розетки RJ-45, кроссы, монтажные шкафы и кабельные каналы.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337E73D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4F7D01C3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pPr>
      <w:r/>
      <w:bookmarkStart w:id="49" w:name="_Toc1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1.1.2 Логические компоненты локально-вычислительной сети</w:t>
      </w:r>
      <w:bookmarkEnd w:id="49"/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</w:p>
    <w:p w14:paraId="5FDF4D67">
      <w:pPr>
        <w:pStyle w:val="1069"/>
        <w:pageBreakBefore w:val="false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</w:p>
    <w:p w14:paraId="0D3FD097" w14:textId="77777777">
      <w:pPr>
        <w:pStyle w:val="1067"/>
        <w:pageBreakBefore w:val="false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Логические компоненты определяют правила и алгоритмы обмена данными между физическими устройствами. К ним относятся системы адресации, сетевые протоколы, технологии сегментации и средства информационной безопасности.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1027433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IP-адресация. Каждое устройство в ЛВС идентифицируется уникальным IP-адресом. В большинстве сетей используются адреса протокола IPv4 из частных диапазонов 10.0.0.0/8, 172.16.0.0/12 и 192.168.0.0/16. Назна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чение адресов может выполняться вручную (статическая адресация) либо автоматически через службу DHCP. Современные сети также активно внедряют протокол IPv6, обеспечивающий значительно больший адресный пул и улучшенные механизмы автоматической конфигурации.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0095A29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Протоколы передачи данных. Канальный уровень в ЛВС реализуется преимущественно протоколом Ethernet (стандарт IEEE 802.3) для проводных соединений и протоколами семейства 802.11 для беспроводных. На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сетевом и транспортном уровнях работают протоколы стека TCP/IP — IP, ICMP, TCP, UDP. Прикладной уровень представлен протоколами HTTP/HTTPS, FTP, SMB, NFS, SMTP, IMAP, POP3, DNS, SNMP и другими, обеспечивающими работу пользовательских и системных сервисов.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E0E9323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Сегментация сети и VLAN. В крупных ЛВС применяется логическое разделение единой физической сети на несколько изолированных сегментов с помощью технологии VLAN (Virtual Local Area Network, стандарт IEEE 802.1Q). 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егментация преследует несколько целей: уменьшение размера широковещательного домена, повышение производительности и безопасности, упрощение администрирования. Маршрутизация трафика между VLAN осуществляется на коммутаторах уровня L3 или на маршрутизаторах.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252EBB1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Сетевая топология. Под топологией понимается логическая или физическая схема соединения устройств в сети. Базовые топологии — «звезда», «кольцо», «шина» и «дерево». В современных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ЛВС практически повсеместно используется иерархическая многоуровневая топология «звезда» (или её модификации), при которой оконечные устройства подключаются к коммутаторам уровня доступа, те — к коммутаторам уровня агрегации, а агрегационные — к ядру сети.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2249DA7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iCs w:val="0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Информационная безопасность. Логический контур безопасности ЛВС включает механизмы аутентификации (802.1X, RADIUS, Kerberos), разграничения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доступа (списки ACL на маршрутизаторах и коммутаторах, ролевая модель доступа в операционных системах), фильтрации трафика (межсетевые экраны), обнаружения и предотвращения вторжений (IDS/IPS), шифрования трафика (IPsec, TLS) и контроля целостности данных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/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31069A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C09F3BB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0" w:name="_Toc1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1.2 Методы передачи данных в локально-вычислительной сети</w:t>
      </w:r>
      <w:bookmarkEnd w:id="5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2FF7EA5E">
      <w:pPr>
        <w:pStyle w:val="1069"/>
        <w:pageBreakBefore w:val="false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76F0BA98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 точки зрения физической среды передачи данных современные ЛВС подразделяются на проводные, беспроводные и комбинированные.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ED9E317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Проводные сети на базе технологии Ethernet остаются наиболее распространённым решением благодаря высокой скорости передачи данных (от 1 Гбит/с в типовых офисных сетях до 100 Гбит/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 в магистральных сегментах дата-центров), стабильности работы, защищённости от внешних радиопомех и относительной простоте обслуживания. Подключение организуется по витой паре или оптоволокну в зависимости от расстояния и требуемой пропускной способности.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16A799C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Беспроводные сети Wi-Fi обеспечивают мобильность пользователей и упрощают подключение устройств, для которых проводная инфраструктура неудобна или невозможна. Современные стандарты — Wi-Fi 5 (802.11ac) и Wi-Fi 6 / 6E (802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.11ax) — поддерживают скорости передачи данных до нескольких гигабит в секунду и улучшенные механизмы работы в условиях высокой плотности клиентов. Беспроводная сеть как правило используется как дополнение к проводной инфраструктуре, образуя гибридную ЛВС.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004FF5F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25283FBB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1" w:name="_Toc1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1.3 Программное обеспечение серверной инфраструктуры</w:t>
      </w:r>
      <w:bookmarkEnd w:id="5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3E3CFDD">
      <w:pPr>
        <w:pStyle w:val="1069"/>
        <w:pageBreakBefore w:val="false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2248ADFD" w14:textId="77777777">
      <w:pPr>
        <w:pStyle w:val="1067"/>
        <w:pageBreakBefore w:val="false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Серверное программное обеспечение — это специализированные программные продукты, устанавливаемые на выделенные серверные платформы для предоставления сетевых служб и централизованного управления ресурсами ЛВС.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EBACA62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Серверные операционные системы. Среди отечественных операционны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х систем широко применяются Альт Сервер (разработка ООО «Базальт СПО»), Astra Linux Special Edition, РЕД ОС, ROSA Enterprise Linux Server. Серверная ОС обеспечивает стабильность работы, безопасность, поддержку специализированных серверных ролей и сервисов.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6F95A50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Службы каталогов и аутентификации. В сетях, построенных на платформе Microsoft, центральную роль играет служба Acti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ve Directory, обеспечивающая централизованное управление учётными записями пользователей, компьютеров, групп безопасности и применение групповых политик (GPO). В Linux-средах аналогичные задачи решают OpenLDAP, FreeIPA, Samba 4 в режиме контроллера домена.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1B03B03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Системы виртуализации. Современные предприятия активно используют виртуализацию для повышения утилизации серверного об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орудования. Наиболее популярные платформы — VMware vSphere/ESXi, Microsoft Hyper-V, Proxmox VE, KVM/QEMU. Виртуализация позволяет запускать на одном физическом сервере несколько изолированных виртуальных машин со своими операционными системами и сервисами.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A1C291E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Файловые и почтовые серверы. Файловые 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ерверы предоставляют общие сетевые папки по протоколам NFS (Linux) или SMB/CIFS (Microsoft). Почтовая инфраструктура реализуется через связки на основе свободного программного обеспечения — Postfix совместно с Dovecot, iRedMail, Zimbra Collaboration Suite.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D567002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Системы резервного копирования. Для обеспечения сохранности данных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применяются специализированные программные комплексы: Veeam Backup &amp; Replication, Acronis Cyber Protect, Bacula, BorgBackup, restic. Они автоматизируют процессы создания резервных копий, верификации и восстановления данных по заранее заданному расписанию.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76EFB8D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Серв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еры баз данных. Корпоративные приложения опираются на промышленные СУБД: Oracle Database, PostgreSQL, MySQL/MariaDB, Microsoft SQL Server. СУБД обеспечивают хранение и обработку структурированных данных, поддержку транзакций и многопользовательский доступ.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B0E0790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Веб-серверы. Для размещения корпоративных порталов, внутренних сайтов и веб-приложений используются веб-серверы Apache HTTP Server, Nginx, Microsoft Internet Information Services (IIS), а также серверы приложений Tomcat, JBoss, Node.js.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D7FC8F4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212E20DE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2" w:name="_Toc1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1.4 Программное обеспечение рабочих станций</w:t>
      </w:r>
      <w:bookmarkEnd w:id="5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29464D66">
      <w:pPr>
        <w:pStyle w:val="1069"/>
        <w:pageBreakBefore w:val="false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16493FD9" w14:textId="77777777">
      <w:pPr>
        <w:pStyle w:val="1067"/>
        <w:pageBreakBefore w:val="false"/>
        <w:suppressLineNumbers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Клиентское программное обеспечение устанавливается на рабочие станции пользователей и обеспечивает выполнение повседневных производственных задач.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45A7AE1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Клиентские операционные системы. Linux — Альт Рабочая станция, Astra Linux Common Edition, РЕД ОС аcrosoft Windows 10 и Windows 11 (редакции Pro, Ent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erprise). Клиентская ОС должна быть совместима с серверной инфраструктурой по используемым протоколам аутентификации, файлового обмена и печати.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8E496BE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Офисные пакеты. Для работы с документами используются проприетарные пакеты — r7Office, LibreOffice, Apache OpenOffice, ОnlyOffice, «Мой Офис» и открытые альтернативы Microsoft Office (включая облачную версию Microsoft 365).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0630A05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Средства корпоративных коммуникаций. К ним относятся корпоративные мессенджеры (отечественные VK Teams, Express, eXpress и зарубежние Slack, Mattermost, Rocket.Chat,), почтовые клиенты (Microsoft Outlook, Mozilla Thunderbird), системы видеоконференцсвязи.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DC623B1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Браузеры и клиенты сетевых сервисов. На рабочих станциях устанавливаются веб-браузеры («Яндекс.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Браузер», Google Chrome, Mozilla Firefox, Microsoft Edge) для работы с веб-ресурсами и SaaS-сервисами, а также терминальные клиенты — RDP-клиент для подключения к Windows-серверам, OpenSSH или PuTTY для удалённого доступа по протоколу SSH к Linux-системам.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C06D46C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Специализированное прикладное ПО. В зависимости от профиля деятельности организации на рабочих станциях устанав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ливаются бухгалтерские программы (1С: Предприятие, </w:t>
      </w:r>
      <w:r>
        <w:rPr>
          <w:highlight w:val="none"/>
        </w:rPr>
        <w:t xml:space="preserve">Контур, Моё дело, Saby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,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системы автоматизированного проектирования (КОМПАС-3D, AutoCAD), графические редакторы (Adobe Photoshop, GIMP, CorelDRAW), системы управления проектами (Jira, Trello, YouGile) и иные прикладные программы.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56BB698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6157408F" w14:textId="77777777">
      <w:pPr>
        <w:pStyle w:val="1069"/>
        <w:pageBreakBefore w:val="false"/>
        <w:suppressLineNumbers w:val="false"/>
        <w:pBdr/>
        <w:spacing w:after="0" w:before="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pPr>
      <w:r/>
      <w:bookmarkStart w:id="53" w:name="_Toc1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1.5 Понятие и назначение системы мониторинга локально-вычислительной сети</w:t>
      </w:r>
      <w:bookmarkEnd w:id="53"/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</w:rPr>
      </w:r>
    </w:p>
    <w:p w14:paraId="5273565B">
      <w:pPr>
        <w:pStyle w:val="1069"/>
        <w:pageBreakBefore w:val="false"/>
        <w:suppressLineNumbers w:val="false"/>
        <w:pBdr/>
        <w:spacing w:after="0" w:afterLines="0" w:before="0" w:beforeLines="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8"/>
          <w:szCs w:val="28"/>
          <w:highlight w:val="none"/>
        </w:rPr>
      </w:r>
    </w:p>
    <w:p w14:paraId="3CF3C6F2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Под мониторингом локальной вычислительной сети понимается процесс непрерыв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ного наблюдения за состоянием сетевых устройств, серверов, сервисов и каналов связи с целью своевременного обнаружения отклонений от нормального режима работы, накопления статистических данных о производительности и предотвращения возникновения инцидентов.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22571B1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Система мониторинга — это программно-аппаратный комплекс, реализую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щий перечисленные функции в автоматическом режиме. Современная система мониторинга состоит из следующих компонентов: сервер мониторинга — центральный элемент, выполняющий сбор, обработку и анализ данных; база данных метрик — хранилище числовых показателей,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журналов событий и истории состояний; агенты — небольшие программы, устанавливаемые на контролируемые узлы и передающие данные о состоянии операционной системы и приложений; модули безагентного сбора данных — собирают информацию по протоколам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SNMP (</w:t>
      </w:r>
      <w:r>
        <w:rPr>
          <w:highlight w:val="none"/>
        </w:rPr>
        <w:t xml:space="preserve">Собирает метрики с сетевых устройств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 для мониторинга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), ICMP (</w:t>
      </w:r>
      <w:r>
        <w:t xml:space="preserve">Проверяет сетевую доступность узла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), IPMI (</w:t>
      </w:r>
      <w:r>
        <w:rPr>
          <w:highlight w:val="none"/>
        </w:rPr>
        <w:t xml:space="preserve">Управляет сервером на аппаратном уровне, даже если он выключен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), WMI (</w:t>
      </w:r>
      <w:r>
        <w:rPr>
          <w:highlight w:val="none"/>
        </w:rPr>
        <w:t xml:space="preserve">Предоставляет доступ к внутренностям ОС Windows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), по SSH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(</w:t>
      </w:r>
      <w:r>
        <w:rPr>
          <w:highlight w:val="none"/>
        </w:rPr>
        <w:t xml:space="preserve"> Обеспечивает безопасный удаленный доступ к командной строке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; веб-интерфейс — обеспечивает визуализацию данных, построение графиков и дашбордов, настройку системы; подсистема оповещений — отправляет уведомления о проблемах по электронной почте, через мессенджеры, SMS, в системы Service Desk.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0BC62CC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 основным методам сбора данных в системах мониторинга относя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тся: опрос по протоколу SNMP (Simple Network Management Protocol) — стандартный способ получения информации с сетевого оборудования (статус интерфейсов, загрузка, ошибки); проверки доступности по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ICMP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(ping) — простейшая проверка факта работы устройства в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сети; агентный сбор — наиболее детальные данные с серверов и рабочих станций; парсинг лог-файлов и журналов событий; анализ трафика по технологиям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NetFlow(</w:t>
      </w:r>
      <w:r>
        <w:rPr>
          <w:highlight w:val="none"/>
        </w:rPr>
        <w:t xml:space="preserve">Объединяет пакеты в «потоки» по одинаковым IP, портам и протоколам, а затем отправляет агрегированную статистику на коллектор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 /sFlow (</w:t>
      </w:r>
      <w:r>
        <w:rPr>
          <w:highlight w:val="none"/>
        </w:rPr>
        <w:t xml:space="preserve">Мониторинг высокоскоростных магистральных сетей (10G/100G) для снижения нагрузки на процессор коммутатора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t xml:space="preserve">) /jFlow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(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 xml:space="preserve">Сбор статистики о потоках трафика в сетевой инфраструктуре, построенной на устройствах Juniper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)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; синтетические проверки прикладных сервисов (HTTP-запросы, SSH-подключения, SQL-запросы).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2030003" w14:textId="77777777">
      <w:pPr>
        <w:pStyle w:val="1067"/>
        <w:pageBreakBefore w:val="false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Внедрение системы мониторинга на предприятии даёт ряд практических выгод: сокращение времени реакции на инциденты, уменьшение продолжительности простоев, накопление данных для планирования модернизации инфра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структуры, прозрачность работы IT-подразделения, повышение качества обслуживания пользователей. В долгосрочной перспективе мониторинг снижает совокупную стоимость владения IT-инфраструктурой за счёт перехода от реактивной модели обслуживания к проактивной.</w:t>
      </w:r>
      <w:r>
        <w:br w:type="page" w:clear="all"/>
      </w:r>
      <w:r>
        <w:rPr>
          <w:color w:val="auto"/>
        </w:rPr>
      </w:r>
      <w:r>
        <w:rPr>
          <w:color w:val="auto"/>
        </w:rPr>
      </w:r>
    </w:p>
    <w:p w14:paraId="10024D8A" w14:textId="77777777">
      <w:pPr>
        <w:pStyle w:val="1068"/>
        <w:suppressLineNumbers w:val="false"/>
        <w:pBdr/>
        <w:spacing w:after="0" w:before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4" w:name="_Toc1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ГЛАВА 2. АНАЛИЗ СУЩЕСТВУЮЩИХ РЕШЕНИЙ ДЛЯ МОНИТОРИНГА ЛОКАЛЬНО-ВЫЧИСЛИТЕЛЬНОЙ СЕТИ</w:t>
      </w:r>
      <w:bookmarkEnd w:id="5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6803AEF0">
      <w:pPr>
        <w:pStyle w:val="1068"/>
        <w:suppressLineNumbers w:val="false"/>
        <w:pBdr/>
        <w:spacing w:after="0" w:afterLines="0" w:before="0" w:beforeLines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7A58990C" w14:textId="77777777">
      <w:pPr>
        <w:pStyle w:val="1069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5" w:name="_Toc1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2.1 Обзор современных систем мониторинга</w:t>
      </w:r>
      <w:bookmarkEnd w:id="5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4406F2B1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6DAF9ED9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На сего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дняшний день рынок систем мониторинга локально-вычислительных сетей предлагает большое количество программных решений, отличающихся друг от друга по архитектуре, моделям лицензирования, функциональным возможностям, требованиям к ресурсам и стоимости владен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ия. Условно все доступные решения можно разделить на три категории: свободно распространяемые системы с открытым исходным кодом, проприетарные корпоративные продукты и облачные SaaS-сервисы. Рассмотрим наиболее популярные представители каждой из категорий.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A574BED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09988A0E" w14:textId="77777777">
      <w:pPr>
        <w:pStyle w:val="1069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6" w:name="_Toc1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2.1.1 Свободно распространяемые системы мониторинга</w:t>
      </w:r>
      <w:bookmarkEnd w:id="5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2CBFA16D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5D36B363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Zabbix. Корпоративная платформа мониторинга с открытым исходным кодом, распространяемая по лицензии GPL. Имеет централизованный веб-интерфейс и поддерживает как аге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нтный, так и безагентный методы сбора данных (SNMP, IPMI, JMX, ICMP, HTTP-проверки, агенты для Linux/Windows). Ключевые особенности применительно к мониторингу ЛВС: автоматическое обнаружение сетевых устройств, глубокий SNMP-мониторинг (статусы интерфейсов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, загрузка портов, счётчики ошибок), возможность построения сетевых карт топологии, гибкая система триггеров и шаблонов на тысячи моделей оборудования. Преимуществами Zabbix являются бесплатное распространение, отличная масштабируемость (от десятков до сот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ен тысяч контролируемых устройств), активное русскоязычное сообщество, полная локализация интерфейса и подробная документация. К недостаткам относят достаточно высокий порог входа и необходимость предварительной настройки шаблонов под конкретное окружение.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028D7B0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Nagios Core и Icinga 2. Классические системы м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ониторинга, проверенные временем, изначально ориентированные на мониторинг доступности сервисов и оперативную отправку оповещений. Nagios Core является «эталонной» свободной системой мониторинга, а Icinga 2 представляет собой её эволюционное развитие с сов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ременной архитектурой, поддержкой кластеризации и REST API. Системы хорошо подходят для проверки доступности сетевых устройств по ICMP, мониторинга прикладных сервисов (HTTP, SSH, SMTP, DNS) и пороговых SNMP-проверок. К сильным сторонам относятся высокая 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табильность, модульная архитектура с огромным количеством плагинов и предсказуемое поведение. Слабая сторона Nagios Core — морально устаревший веб-интерфейс и конфигурация преимущественно через текстовые файлы; в Icinga 2 этот недостаток частично устранён.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B95515F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Prometheus +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Grafana. Современный стек мониторинга, ставший де-факто стандартом для динамических облачных сред (Kubernetes, контейнеризованные приложения), но применимый и для классических ЛВС. Prometheus реализует pull-модель — он самостоятельно опрашивает контролируе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мые узлы через так называемые экспортёры. Для мониторинга сетевого оборудования используется snmp_exporter, преобразующий данные SNMP в формат Prometheus. Grafana обеспечивает визуализацию метрик через настраиваемые дашборды. Преимуществами стека являются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мощный язык запросов PromQL для анализа временных рядов, высокая надёжность и общирная экосистема экспортёров. К ограничениям относится тот факт, что система ориентирована на метрики и не предназначена для хранения сырых лог-файлов и работы с трапами SNMP.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31FBE44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LibreNMS. Форк системы Obs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ervium с открытым исходным кодом, специализированный на сетевом мониторинге. Обеспечивает автоматическое обнаружение устройств по протоколам LLDP, CDP, OSPF, BGP, сбор метрик по SNMP, построение красивых графиков и расширенную систему оповещений. Преимущес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тва: простое первоначальное развёртывание (особенно при использовании готового образа), полностью бесплатное распространение, активная разработка. Недостатки: меньшая гибкость по сравнению с Zabbix, перегруженный интерфейс при большом количестве устройств.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CCC5F63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Cacti. Специализированный инструмент для по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строения графиков временных рядов на основе данных, получаемых по SNMP. Использует библиотеку RRDtool для хранения и отображения статистики. Cacti остаётся актуальным решением для задач долгосрочного трендового анализа использования полосы пропускания кана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лов связи, загрузки процессоров и памяти сетевых устройств. Сильная сторона — простота освоения и эффективное решение узкой задачи построения графиков. Слабые стороны — ограниченные возможности оповещений и автоматизации, морально устаревший веб-интерфейс.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37E49D9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3DDD1AA4" w14:textId="77777777">
      <w:pPr>
        <w:pStyle w:val="1069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7" w:name="_Toc2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2.1.2 Проприетарные корпоративные решения</w:t>
      </w:r>
      <w:bookmarkEnd w:id="5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6433391D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5F8BE2DE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PRTG Network Monitor. Универсальная система мониторинга от немецкой компании Paessler AG с интуитивным веб-интерфейсом и философией «установил и работает». Поддерживает свыше 200 встр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оенных датчиков (sensors) различных типов: ICMP-проверки, SNMP-опросы, NetFlow/sFlow-анализ трафика, мониторинг производительности баз данных и веб-приложений. Обеспечивает автообнаружение сети и построение карт топологии в реальном времени. К преимущества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м относятся простота установки и эксплуатации, наглядный интерфейс, доступная бесплатная версия с ограничением в 100 датчиков. Главный недостаток — лицензирование по количеству датчиков, что делает систему дорогостоящей при масштабировании на крупные сети.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89759CB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SolarWinds Network Performance Monitor (NPM). Отраслевой стандарт среди коммерческих систем мониторинга сетевой инфраст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руктуры. Предоставляет глубокую аналитику производительности сети, мониторинг трафика по технологиям NetFlow, sFlow и jFlow, диагностику беспроводных сетей, прогнозирование загрузки каналов связи и продвинутое построение карт топологии. Сильные стороны: ши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рочайший функционал, специально разработанный под задачи сетевых инженеров, мощные средства отчётности. Слабые стороны: высокая совокупная стоимость владения, существенные требования к ресурсам серверной части, ограниченная доступность на российском рынке.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A69D360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Checkmk (Raw Edition / Enterprise Edition). Современная платформа, объединяющая мониторинг серверов, приложений, сетевого оборудования и систем хранения данных. Существует в двух редакциях: бесплатная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Raw Edition с открытым исходным кодом и коммерческая Enterprise Edition с расширенным функционалом. Среди ключевых особенностей: автоматическое создание хостов и сервисов на основе правил, встроенная поддержка SNMP-мониторинга сетевого оборудования, прове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рки BGP, инвентаризация устройств. Преимущества: высокая степень автоматизации, хорошая масштабируемость, удобный интерфейс настройки. Недостатки: избыточная функциональность для очень малых сетей, ряд продвинутых возможностей доступен только в Enterprise.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0B54C0E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Microsoft System Center Operations Manager (SCOM). Комплексное решение для мониторинга IT-инфраструктуры, ориентированное на среды, построе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нные преимущественно на технологиях Microsoft. Мониторинг сетевых устройств осуществляется через Management Packs — специализированные дополнения, поставляемые либо самой Microsoft, либо производителями оборудования. Хорошо интегрируется с Active Directory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, серверами Windows и виртуализацией Hyper-V. Преимущество — глубокая интеграция с экосистемой Microsoft и единая консоль управления всей инфраструктурой. Недостатки — высокая стоимость лицензирования и существенная сложность развёртывания и сопровождения.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7855906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5D105435" w14:textId="77777777">
      <w:pPr>
        <w:pStyle w:val="1069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8" w:name="_Toc2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2.1.3 Облачные решения</w:t>
      </w:r>
      <w:bookmarkEnd w:id="5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0871A66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0435DA5F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Облачные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системы мониторинга (Datadog, Auvik, ManageEngine OpManager Cloud) представляют собой SaaS-сервисы, в которых сбор, хранение и анализ данных происходят на стороне облачного провайдера. На контролируемых узлах ЛВС устанавливаются легковесные агенты или сбор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щики данных, передающие метрики в облако через защищённые каналы. Auvik специализирован именно на мониторинге сетевого оборудования: умеет автоматически строить карты топологии, отслеживать трафик и предоставлять удалённый доступ к управлению устройствами.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5A7C2BE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Преимущества облачных решений: отсутствие необходимости разворачивать собственную серверную инфраструктуру мониторинга, быстрый старт, автоматические обновления, доступ из любой точки через веб-интерфейс. Недостатки: модель постоянной подпис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ки (OPEX), передача данных о внутренней сетевой инфраструктуре третьей стороне (что критично для требований информационной безопасности и российского законодательства о персональных данных), зависимость качества мониторинга от стабильности интернет-канала.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2C25C1B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 w14:paraId="43177005" w14:textId="77777777">
      <w:pPr>
        <w:pStyle w:val="1069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59" w:name="_Toc2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2.2 Критерии оценки систем мониторинга</w:t>
      </w:r>
      <w:bookmarkEnd w:id="5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85FE494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4C105615" w14:textId="77777777">
      <w:pPr>
        <w:pStyle w:val="1067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Для проведения объективного сравнительного анализа рассмотренных систем были выбраны десять критериев, охватывающих как технические, так и экономические аспекты внедрения и эксплуатации.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7580318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1. Тип лицензии. Определяет правовой режим использования продукта. Программы с открытым исходным кодом (Open Source) распространяются бесплатно по свободным лицензиям GPL, BSD, Apache; пользователю 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еобходимо самостоятельно либо силами привлечённого специалиста выполнить развёртывание и сопровождение. Проприетарные системы поставляются по коммерческим лицензиям — единовременным или подписочным, обычно с включённой технической поддержкой производителя.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1B08BA5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2. Стоимость владения (TCO, Total Cost of Ownership). Учитывает все реальные расходы на систему мониторинга за весь срок её эксплуатации: первоначальные затраты на лицензии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 оборудование, затраты на труд специалистов по установке и сопровождению, расходы на обновление и расширение, потребляемая электроэнергия. Бесплатное ПО не всегда оказывается дешевле в долгосрочной перспективе из-за более высоких трудозатрат на настройку.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A71ECC8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3. Сложность внедрения и администрирования. Отражает требуемый уровень квалификации специалиста и время, необходимое для запуска сис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темы в работу. Высокий показатель сложности означает необходимость глубокого понимания принципов работы, ручной настройки конфигурационных файлов, отладки взаимодействия компонентов; низкий — возможность развёртывания «из коробки» с минимальной настройкой.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4BDF05B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4. Мониторинг сетевого оборудования через SNMP. Оценивает глубину и качес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тво поддержки протокола SNMP (версии 1, 2c и 3). Качественный SNMP-мониторинг позволяет получать сведения о статусе портов коммутаторов, утилизации интерфейсов, температуре оборудования, состоянии вентиляторов и блоков питания, ошибках на канальном уровне.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185938BE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5. Анализ сетевого трафика. Способность системы получать и обрабатыва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ть данные технологий NetFlow, sFlow, jFlow, IPFIX. Анализ потоков трафика позволяет определять, какие хосты и приложения наиболее активно используют пропускную способность каналов связи, выявлять аномальную сетевую активность, оптимизировать маршрутизацию.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6AA1607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6. Визуализация и дашборды. Удобство представления собранных данных в виде графиков, диаграмм, карт топологии и сводных панелей. Качественная визуализация значительно ускоряет диагностику проблем и облегчает повседневный контроль состояния инфраструктуры.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60EF018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7. Гибкость и масштабируемость. Способность системы развивать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ся вместе с инфраструктурой предприятия: поддерживать рост количества контролируемых узлов, добавлять новые типы проверок, интегрироваться со сторонними системами через API, поддерживать распределённую установку с несколькими прокси-серверами сбора данных.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25D5B39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8. Гибкость системы оповещений. В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озможности тонкой настройки правил уведомлений: пороги срабатывания, временные расписания (рабочее время / нерабочее время), каналы доставки (электронная почта, SMS, мессенджеры, голосовые звонки, интеграция с системами Service Desk), эскалация инцидентов.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CF8A022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9. Сообщество и поддержка. Для свободных систем — наличие активного сообщества пользователей, форумов, базы знаний, готовых шаблонов и плагинов. Для коммерческих — качество и оперативность работы службы технической поддержки производителя.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6FBF4244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10. Целевая аудитория. Тип орган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изаций и сред, для которых система разработана и в которых она наиболее эффективна.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9E1FC70" w14:textId="77777777">
      <w:pPr>
        <w:pStyle w:val="1069"/>
        <w:suppressLineNumbers w:val="false"/>
        <w:pBdr/>
        <w:spacing w:after="120" w:before="24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60" w:name="_Toc2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2.3 Сравнительный анализ систем мониторинга</w:t>
      </w:r>
      <w:bookmarkEnd w:id="6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D0B940D" w14:textId="3D288924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  <w:lang w:val="en-US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На основе выбранных критериев был проведён сравнительный анализ наиболее популярных систем мониторинга. Результаты представлены в таблице 1.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</w:r>
    </w:p>
    <w:p w14:paraId="7FA29B5E">
      <w:pPr>
        <w:pBdr/>
        <w:shd w:val="nil"/>
        <w:spacing/>
        <w:ind/>
        <w:rPr>
          <w:rFonts w:eastAsia="Times New Roman" w:cs="Times New Roman"/>
          <w:b w:val="0"/>
          <w:bCs w:val="0"/>
          <w:i w:val="0"/>
          <w:color w:val="auto"/>
          <w:sz w:val="28"/>
          <w:szCs w:val="28"/>
          <w:lang w:val="en-US"/>
        </w:rPr>
      </w:pP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  <w:lang w:val="en-US"/>
        </w:rPr>
        <w:br w:type="page" w:clear="all"/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  <w:lang w:val="en-US"/>
        </w:rPr>
      </w:r>
      <w:r>
        <w:rPr>
          <w:rFonts w:eastAsia="Times New Roman" w:cs="Times New Roman"/>
          <w:b w:val="0"/>
          <w:bCs w:val="0"/>
          <w:i w:val="0"/>
          <w:color w:val="auto"/>
          <w:sz w:val="28"/>
          <w:szCs w:val="28"/>
          <w:lang w:val="en-US"/>
        </w:rPr>
      </w:r>
    </w:p>
    <w:p w14:paraId="6EE4DA64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color w:val="auto"/>
          <w:sz w:val="28"/>
          <w:szCs w:val="28"/>
          <w:lang w:val="en-US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  <w:lang w:val="en-US" w:bidi="en-US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  <w:lang w:val="en-US" w:bidi="en-US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  <w:lang w:val="en-US"/>
        </w:rPr>
      </w:r>
    </w:p>
    <w:p w14:paraId="47FC6B90" w14:textId="77777777">
      <w:pPr>
        <w:pStyle w:val="1067"/>
        <w:pBdr/>
        <w:spacing w:after="0" w:afterAutospacing="0" w:before="0" w:beforeAutospacing="0" w:line="360" w:lineRule="auto"/>
        <w:ind/>
        <w:jc w:val="right"/>
        <w:rPr>
          <w:rFonts w:eastAsia="Times New Roman" w:cs="Times New Roman"/>
          <w:i w:val="0"/>
          <w:iCs w:val="0"/>
          <w:sz w:val="28"/>
          <w:szCs w:val="28"/>
          <w:highlight w:val="none"/>
        </w:rPr>
      </w:pP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  <w:t xml:space="preserve">Таблица 1</w:t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</w:p>
    <w:p w14:paraId="79D06A44" w14:textId="77777777">
      <w:pPr>
        <w:pStyle w:val="1067"/>
        <w:pBdr/>
        <w:spacing w:after="0" w:afterAutospacing="0" w:before="0" w:beforeAutospacing="0" w:line="360" w:lineRule="auto"/>
        <w:ind/>
        <w:jc w:val="center"/>
        <w:rPr>
          <w:rFonts w:eastAsia="Times New Roman" w:cs="Times New Roman"/>
          <w:i w:val="0"/>
          <w:iCs w:val="0"/>
          <w:sz w:val="28"/>
          <w:szCs w:val="28"/>
          <w:highlight w:val="none"/>
        </w:rPr>
      </w:pP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  <w:t xml:space="preserve"> </w:t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  <w:t xml:space="preserve">Сравнительный анализ систем мониторинга ЛВС</w:t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Cs w:val="0"/>
          <w:i w:val="0"/>
          <w:iCs w:val="0"/>
          <w:sz w:val="28"/>
          <w:szCs w:val="28"/>
          <w:highlight w:val="none"/>
        </w:rPr>
      </w:r>
    </w:p>
    <w:p w14:paraId="74BF8BE3">
      <w:pPr>
        <w:pStyle w:val="1067"/>
        <w:pBdr/>
        <w:spacing w:after="0" w:afterAutospacing="0" w:before="0" w:beforeAutospacing="0" w:line="360" w:lineRule="auto"/>
        <w:ind/>
        <w:jc w:val="center"/>
        <w:rPr>
          <w:rFonts w:eastAsia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9233910" cy="543986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88379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rot="5399999" flipH="0" flipV="0">
                          <a:off x="0" y="0"/>
                          <a:ext cx="9233910" cy="54398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27.08pt;height:428.34pt;mso-wrap-distance-left:0.00pt;mso-wrap-distance-top:0.00pt;mso-wrap-distance-right:0.00pt;mso-wrap-distance-bottom:0.00pt;rotation:89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</w:p>
    <w:p w14:paraId="7AECC754">
      <w:pPr>
        <w:pBdr/>
        <w:shd w:val="nil"/>
        <w:spacing/>
        <w:ind/>
        <w:rPr>
          <w:rFonts w:eastAsia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Cs w:val="0"/>
          <w:i w:val="0"/>
          <w:sz w:val="28"/>
          <w:szCs w:val="28"/>
          <w:highlight w:val="none"/>
        </w:rPr>
        <w:br w:type="page" w:clear="all"/>
      </w:r>
      <w:r>
        <w:rPr>
          <w:rFonts w:eastAsia="Times New Roman" w:cs="Times New Roman"/>
          <w:bCs w:val="0"/>
          <w:i w:val="0"/>
          <w:sz w:val="28"/>
          <w:szCs w:val="28"/>
          <w:highlight w:val="none"/>
        </w:rPr>
      </w:r>
      <w:r>
        <w:rPr>
          <w:rFonts w:eastAsia="Times New Roman" w:cs="Times New Roman"/>
          <w:bCs w:val="0"/>
          <w:i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Cs w:val="0"/>
          <w:i w:val="0"/>
          <w:sz w:val="28"/>
          <w:szCs w:val="28"/>
          <w:highlight w:val="none"/>
        </w:rPr>
      </w:r>
    </w:p>
    <w:p w14:paraId="4EFE1D24" w14:textId="77777777">
      <w:pPr>
        <w:pStyle w:val="1069"/>
        <w:suppressLineNumbers w:val="false"/>
        <w:pBdr/>
        <w:spacing w:after="0" w:before="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1" w:name="_Toc2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2.4 Обоснование выбора системы мониторинга</w:t>
      </w:r>
      <w:bookmarkEnd w:id="6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4F4853D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096E031C" w14:textId="77777777">
      <w:pPr>
        <w:pStyle w:val="1067"/>
        <w:pBdr/>
        <w:spacing w:after="6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 итогам сравнительного анализа в качестве системы для практической реализации в рамках дипломного проекта была выбрана платформа Zabbix. Данный выбор обоснован следующими соображениями.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D31727A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Во-первых, Zabbix распространяется бесплатно по лицензии GPL, что полностью исключает затраты на приобретение программного обеспечения и снимает риски нелицензионного использования.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024290B5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Во-вторых, Zabbix обеспечивает максимально широкий функциональный охват сре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ди свободных решений: единая платформа поддерживает агентный и безагентный сбор данных, мониторинг по SNMP всех версий, проверки прикладных сервисов, базовый анализ NetFlow через дополнения, гибкую систему триггеров и оповещений, построение карт топологии.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75FCE963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В-третьих, Zabbix имеет очень активное русскоязычное сообщество, полностью переведённый интерфейс и подробную локализованную документацию, что важно с точки зрения практики обслуживания системы на российских предприятиях.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3B34E1E7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В-четвёртых, разработчик Zabbix — компания Zabbix LLC — официально присутствует на российском рынке (московское представительство, обучающие центры, партнёрская сеть), что обеспечивает доступность профессиональной поддержки при необходимости.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5D828B8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В-пятых, Zabbix демонстрирует хорошую масштабируемость: одна инсталляция способна контролировать от десятков до сотен тысяч узлов, что позволяет использовать одну и ту же платформу как в небольшой компании, так и в крупной организации.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2F6534E6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Таким образом,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Zabbix представляет собой оптимальный выбор для проекта внедрения системы мониторинга ЛВС в организации малого или среднего размера, не требующий лицензионных отчислений и обеспечивающий достаточный функциональный запас для будущего роста инфраструктуры. </w:t>
      </w:r>
      <w:r>
        <w:br w:type="page" w:clear="all"/>
      </w:r>
      <w:r>
        <w:rPr>
          <w:color w:val="auto"/>
        </w:rPr>
      </w:r>
      <w:r>
        <w:rPr>
          <w:color w:val="auto"/>
        </w:rPr>
      </w:r>
    </w:p>
    <w:p w14:paraId="0E27B00A" w14:textId="77777777">
      <w:pPr>
        <w:pStyle w:val="1067"/>
        <w:pBdr/>
        <w:spacing w:after="0" w:before="0" w:line="360" w:lineRule="auto"/>
        <w:ind w:firstLine="864"/>
        <w:jc w:val="both"/>
        <w:rPr/>
      </w:pPr>
      <w:r/>
      <w:r/>
    </w:p>
    <w:p w14:paraId="3361A8EE" w14:textId="77777777">
      <w:pPr>
        <w:pStyle w:val="1068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2" w:name="_Toc2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ГЛАВА 3. ПРАКТИЧЕСКАЯ РЕАЛИЗАЦИЯ СИСТЕМЫ МОНИТОРИНГА НА БАЗЕ ZABBIX</w:t>
      </w:r>
      <w:bookmarkEnd w:id="6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68E3D68D">
      <w:pPr>
        <w:pStyle w:val="1068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31446EB1" w14:textId="77777777">
      <w:pPr>
        <w:pStyle w:val="1069"/>
        <w:suppressLineNumbers w:val="false"/>
        <w:pBdr/>
        <w:spacing w:after="0" w:before="0" w:line="360" w:lineRule="auto"/>
        <w:ind w:firstLine="864" w:left="0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3" w:name="_Toc2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3.1 Описание используемой инфраструктуры</w:t>
      </w:r>
      <w:bookmarkEnd w:id="6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1F73D6FE">
      <w:pPr>
        <w:pStyle w:val="1069"/>
        <w:suppressLineNumbers w:val="false"/>
        <w:pBdr/>
        <w:spacing w:after="0" w:afterLines="0" w:before="0" w:beforeLines="0" w:line="360" w:lineRule="auto"/>
        <w:ind w:firstLine="864" w:left="0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016320B9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Для практической реализации задачи мониторинга была развёрнута тестовая инфраструктура, имитирующая типовую ЛВС небольшого пре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дприятия. Все компоненты стенда запущены в виде виртуальных машин на платформе VirtualBox, что позволяет легко воспроизводить и масштабировать конфигурацию. В состав стенда вошли: сервер мониторинга на базе отечественной ОС Альт Сервер 10, рабочая станция </w:t>
      </w:r>
      <w:r>
        <w:rPr>
          <w:rFonts w:eastAsia="Times New Roman" w:cs="Times New Roman"/>
          <w:b w:val="0"/>
          <w:bCs w:val="0"/>
          <w:color w:val="auto"/>
          <w:sz w:val="28"/>
          <w:szCs w:val="28"/>
        </w:rPr>
        <w:t xml:space="preserve">Альт Workstation 11.1 для визуального просмотра Zabbix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, а также активное сетевое оборудование — коммутатор и маршрутизатор с поддержкой протокола SNMP, в качестве примера я взял Альт Je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OS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Полный перечень узлов стенда и их характеристики приведены в таблице 2.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4F03F06C" w14:textId="77777777">
      <w:pPr>
        <w:pStyle w:val="1067"/>
        <w:pBdr/>
        <w:spacing w:after="0" w:afterAutospacing="0" w:before="0" w:beforeAutospacing="0" w:line="360" w:lineRule="auto"/>
        <w:ind w:firstLine="0" w:left="0"/>
        <w:jc w:val="right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Таблица 2 </w:t>
      </w:r>
      <w:r>
        <w:rPr>
          <w:rFonts w:eastAsia="Times New Roman" w:cs="Times New Roman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i w:val="0"/>
          <w:iCs w:val="0"/>
          <w:color w:val="auto"/>
          <w:sz w:val="28"/>
          <w:szCs w:val="28"/>
        </w:rPr>
      </w:r>
    </w:p>
    <w:p w14:paraId="09F2EAAC" w14:textId="77777777">
      <w:pPr>
        <w:pStyle w:val="1067"/>
        <w:pBdr/>
        <w:spacing w:after="0" w:afterAutospacing="0" w:before="0" w:beforeAutospacing="0" w:line="360" w:lineRule="auto"/>
        <w:ind w:firstLine="0" w:left="0"/>
        <w:jc w:val="center"/>
        <w:rPr>
          <w:i w:val="0"/>
          <w:iCs w:val="0"/>
          <w:color w:val="auto"/>
        </w:rPr>
      </w:pPr>
      <w:r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Состав тестовой инфраструктуры</w:t>
      </w:r>
      <w:r>
        <w:rPr>
          <w:i w:val="0"/>
          <w:iCs w:val="0"/>
          <w:color w:val="auto"/>
        </w:rPr>
      </w:r>
      <w:r>
        <w:rPr>
          <w:i w:val="0"/>
          <w:iCs w:val="0"/>
          <w:color w:val="auto"/>
        </w:rPr>
      </w:r>
    </w:p>
    <w:tbl>
      <w:tblPr>
        <w:tblInd w:w="0" w:type="dxa"/>
        <w:tblW w:w="9355" w:type="dxa"/>
        <w:tblCellMar>
          <w:left w:w="120" w:type="dxa"/>
          <w:top w:w="80" w:type="dxa"/>
          <w:right w:w="12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597"/>
        <w:gridCol w:w="2202"/>
        <w:gridCol w:w="2201"/>
        <w:gridCol w:w="1800"/>
        <w:gridCol w:w="2555"/>
      </w:tblGrid>
      <w:tr>
        <w:trPr>
          <w:tblHeader/>
        </w:trPr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427D9C9B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№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2" w:type="dxa"/>
          </w:tcPr>
          <w:p w14:paraId="70989992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Имя узла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1" w:type="dxa"/>
          </w:tcPr>
          <w:p w14:paraId="6DD71FA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Роль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800" w:type="dxa"/>
          </w:tcPr>
          <w:p w14:paraId="1DD7734B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ОС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555" w:type="dxa"/>
          </w:tcPr>
          <w:p w14:paraId="4C92E3A9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IP-адрес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649841BE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2" w:type="dxa"/>
          </w:tcPr>
          <w:p w14:paraId="2CF06CFC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srv-zabbix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1" w:type="dxa"/>
          </w:tcPr>
          <w:p w14:paraId="60306C68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Сервер мониторинга Zabbix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800" w:type="dxa"/>
          </w:tcPr>
          <w:p w14:paraId="0DDCF26A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Альт Сервер 10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555" w:type="dxa"/>
          </w:tcPr>
          <w:p w14:paraId="505EE505" w14:textId="77777777">
            <w:pPr>
              <w:pStyle w:val="1067"/>
              <w:pBdr/>
              <w:spacing w:line="240" w:lineRule="auto"/>
              <w:ind/>
              <w:jc w:val="left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192.168.100.1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18F999B5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2" w:type="dxa"/>
          </w:tcPr>
          <w:p w14:paraId="701FE691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lang w:val="en-US"/>
              </w:rPr>
              <w:t xml:space="preserve">cli-linux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-01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1" w:type="dxa"/>
          </w:tcPr>
          <w:p w14:paraId="7975314C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Рабочая станция (с агентом)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800" w:type="dxa"/>
          </w:tcPr>
          <w:p w14:paraId="12D1DA5B" w14:textId="77777777">
            <w:pPr>
              <w:pStyle w:val="1067"/>
              <w:pBdr/>
              <w:spacing w:line="240" w:lineRule="auto"/>
              <w:ind/>
              <w:jc w:val="left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Альт Workstation 11.1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555" w:type="dxa"/>
          </w:tcPr>
          <w:p w14:paraId="127C4F84" w14:textId="77777777">
            <w:pPr>
              <w:pStyle w:val="1067"/>
              <w:pBdr/>
              <w:spacing w:line="240" w:lineRule="auto"/>
              <w:ind/>
              <w:jc w:val="left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192.168.100.2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5FCD5EC4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2" w:type="dxa"/>
          </w:tcPr>
          <w:p w14:paraId="57C28DFE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gw-router-01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201" w:type="dxa"/>
          </w:tcPr>
          <w:p w14:paraId="78DD03B0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Маршрутизатор/шлюз (SNMP, ICMP)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800" w:type="dxa"/>
          </w:tcPr>
          <w:p w14:paraId="3C880635" w14:textId="77777777">
            <w:pPr>
              <w:pStyle w:val="1067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Альт Je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lang w:val="en-US"/>
              </w:rPr>
              <w:t xml:space="preserve">OS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2555" w:type="dxa"/>
          </w:tcPr>
          <w:p w14:paraId="18E1289C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192.168.100.3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</w:tbl>
    <w:p w14:paraId="60061E4C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2FC1ECE6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Все узлы стенда объединены в общую подсеть 192.168.100.0/24. Маршрутизатор gw-router-01 обеспечивает выход в сеть Интернет (для загрузки пакетов и обновлений). Сервер мониторинга получил статический IP-адрес 192.168.100.1 и DNS-имя srv-zabbix.l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an.local. Такая конфигурация позволяет отработать все ключевые сценарии мониторинга: агентный мониторинг серверов и рабочих станций, безагентный SNMP-мониторинг сетевого оборудования, проверки доступности по протоколу ICMP, на рисунке 1 указана схема сети.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329C42ED" w14:textId="4B567A9D">
      <w:pPr>
        <w:pStyle w:val="1069"/>
        <w:pBdr/>
        <w:spacing w:after="0" w:afterAutospacing="0" w:before="0" w:beforeAutospacing="0" w:line="360" w:lineRule="auto"/>
        <w:ind w:firstLine="0"/>
        <w:jc w:val="center"/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00375" cy="341947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53857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3000375" cy="34194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36.25pt;height:269.2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</w:p>
    <w:p w14:paraId="53B8735C" w14:textId="77777777">
      <w:pPr>
        <w:pStyle w:val="1067"/>
        <w:pBdr/>
        <w:spacing/>
        <w:ind/>
        <w:jc w:val="center"/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  <w:highlight w:val="none"/>
        </w:rPr>
      </w:pPr>
      <w:r>
        <w:t xml:space="preserve">Рисунок 1 — схема сети</w:t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r>
    </w:p>
    <w:p w14:paraId="539EB236">
      <w:pPr>
        <w:pStyle w:val="1067"/>
        <w:pBdr/>
        <w:spacing/>
        <w:ind/>
        <w:jc w:val="center"/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2" w:themeTint="FF" w:themeShade="FF"/>
          <w:sz w:val="28"/>
          <w:szCs w:val="28"/>
          <w:highlight w:val="none"/>
        </w:rPr>
      </w:r>
    </w:p>
    <w:p w14:paraId="4198A302" w14:textId="77777777">
      <w:pPr>
        <w:pStyle w:val="1069"/>
        <w:suppressLineNumbers w:val="false"/>
        <w:pBdr/>
        <w:spacing w:after="0" w:before="0" w:line="360" w:lineRule="auto"/>
        <w:ind w:firstLine="0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4" w:name="_Toc2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3.2 Устанока серверной операционной системы</w:t>
      </w:r>
      <w:bookmarkEnd w:id="6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20FEB87">
      <w:pPr>
        <w:pStyle w:val="1069"/>
        <w:suppressLineNumbers w:val="false"/>
        <w:pBdr/>
        <w:spacing w:after="0" w:afterLines="0" w:before="0" w:beforeLines="0" w:line="360" w:lineRule="auto"/>
        <w:ind w:firstLine="0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514246A5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качестве операционной системы для сервера мониторинга был выбран Альт Сервер 10 — серверны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й дистрибутив отечественной разработки. Дистрибутив включён в Единый реестр российских программ (Реестровая запись №1541 от 05.09.2016) для электронных вычислительных машин и баз данных Минцифры России и соответствует требованиям КИИ (</w:t>
      </w:r>
      <w:r>
        <w:rPr>
          <w:rStyle w:val="1082"/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"О безопасности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критической информационной инфраструктуры Российской Федерации"). Альт Сервер 10 имеет в стандартных репозиториях актуальны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е версии PostgreSQL и Apache HTTP Server, а пакеты Zabbix 6.x поставляются в составе официального репозитория платформы p10. Дистрибутив поддерживается производителем, имеет сертификат ФСТЭК России и подходит для построения корпоративных серверных решений.</w:t>
      </w:r>
      <w:r/>
    </w:p>
    <w:p w14:paraId="45474302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После завершения базовой установки операционной си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стемы выполняется обновление списка пакетов и установленных компонентов. В Альт Сервер для управления пакетами используется штатный менеджер apt-get (надстройка над RPM), а для обновления системы — утилита update-kernel или комбинация apt-get dist-upgrade: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EC31A4D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eastAsia="Times New Roman" w:cs="Times New Roman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sz w:val="28"/>
          <w:szCs w:val="28"/>
          <w:highlight w:val="none"/>
        </w:rPr>
        <w:t xml:space="preserve">apt-get update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5A8D170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eastAsia="Times New Roman" w:cs="Times New Roman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sz w:val="28"/>
          <w:szCs w:val="28"/>
          <w:highlight w:val="none"/>
        </w:rPr>
        <w:t xml:space="preserve">apt-get dist-upgrade -y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FAA0FD3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Далее проверяется правильность настройки часового пояса (важно для корректной работы триггеров и графиков):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8EE4F21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sz w:val="28"/>
          <w:szCs w:val="28"/>
        </w:rPr>
        <w:t xml:space="preserve">timedatectl set-timezone Asia/Novosibirsk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EFCE8BD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Также необходимо настроить сетевые параметры — статический IP-адрес, шл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юз и DNS-серверы. В Альт Сервер для этого используется система etcnet: соответствующие настройки прописываются в каталоге /etc/net/ifaces/eth0/ (файлы options, ipv4address, ipv4route, resolv.conf), после чего применяются командой systemctl restart network.</w:t>
      </w:r>
      <w:r/>
    </w:p>
    <w:p w14:paraId="765A14FE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</w:p>
    <w:p w14:paraId="1C956EE6" w14:textId="77777777">
      <w:pPr>
        <w:pStyle w:val="1069"/>
        <w:suppressLineNumbers w:val="false"/>
        <w:pBdr/>
        <w:spacing w:after="0" w:before="0" w:line="360" w:lineRule="auto"/>
        <w:ind w:firstLine="864"/>
        <w:jc w:val="left"/>
        <w:outlineLvl w:val="1"/>
        <w:rPr>
          <w:color w:val="auto"/>
          <w:highlight w:val="none"/>
        </w:rPr>
      </w:pPr>
      <w:r/>
      <w:bookmarkStart w:id="65" w:name="_Toc2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3.3 Настройка и запуск сервера Zabbix</w:t>
      </w:r>
      <w:bookmarkEnd w:id="65"/>
      <w:r>
        <w:rPr>
          <w:color w:val="auto"/>
        </w:rPr>
      </w:r>
      <w:r>
        <w:rPr>
          <w:color w:val="auto"/>
        </w:rPr>
      </w:r>
    </w:p>
    <w:p w14:paraId="69B3E151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color w:val="auto"/>
        </w:rPr>
      </w:pPr>
      <w:r>
        <w:rPr>
          <w:color w:val="auto"/>
          <w:highlight w:val="none"/>
        </w:rPr>
      </w:r>
      <w:r>
        <w:rPr>
          <w:color w:val="auto"/>
          <w:highlight w:val="none"/>
        </w:rPr>
      </w:r>
      <w:r>
        <w:rPr>
          <w:color w:val="auto"/>
          <w:highlight w:val="none"/>
        </w:rPr>
      </w:r>
    </w:p>
    <w:p w14:paraId="3B0AB0A5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качестве системы управления базами данных для Zabbix выбрана PostgreSQL — мощная свободно распространяемая объектно-реляционная СУБД, рекомендуемая разработчиками Zabbix как предпочтительная для производственных установок начиная с версии Zabbix 6.0.</w:t>
      </w:r>
      <w:r>
        <w:rPr>
          <w:color w:val="auto"/>
        </w:rPr>
      </w:r>
      <w:r>
        <w:rPr>
          <w:color w:val="auto"/>
        </w:rPr>
      </w:r>
    </w:p>
    <w:p w14:paraId="04D5C778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Пакеты Zabbix 6.x д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ля платформы Альт Сервер 10 поставляются в составе официального репозитория платформы p10, поэтому подключение сторонних репозиториев не требуется. Установка СУБД PostgreSQL, сервера Zabbix, веб-интерфейса и сопутствующих утилит выполняется одной командой:</w:t>
      </w:r>
      <w:r>
        <w:rPr>
          <w:color w:val="auto"/>
        </w:rPr>
      </w:r>
      <w:r>
        <w:rPr>
          <w:color w:val="auto"/>
        </w:rPr>
      </w:r>
    </w:p>
    <w:p w14:paraId="2A5EB36A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color w:val="auto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highlight w:val="none"/>
        </w:rPr>
        <w:t xml:space="preserve">apt-get update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</w:p>
    <w:p w14:paraId="2E072067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color w:val="auto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highlight w:val="none"/>
        </w:rPr>
        <w:t xml:space="preserve">apt-get install postgresql16-server zabbix-server-postgresql</w:t>
      </w:r>
      <w:r>
        <w:rPr>
          <w:rFonts w:eastAsia="Times New Roman" w:cs="Times New Roman"/>
          <w:color w:val="auto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color w:val="auto"/>
          <w:sz w:val="28"/>
          <w:szCs w:val="28"/>
          <w:highlight w:val="none"/>
        </w:rPr>
        <w:t xml:space="preserve">zabbix-phpfrontend-apache2 zabbix-common-database-postgresql</w:t>
      </w:r>
      <w:r>
        <w:rPr>
          <w:rFonts w:eastAsia="Times New Roman" w:cs="Times New Roman"/>
          <w:color w:val="auto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  <w:r>
        <w:rPr>
          <w:rFonts w:eastAsia="Times New Roman" w:cs="Times New Roman"/>
          <w:color w:val="auto"/>
          <w:sz w:val="28"/>
          <w:szCs w:val="28"/>
          <w:highlight w:val="none"/>
        </w:rPr>
        <w:t xml:space="preserve">zabbix-agent fping -y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</w:p>
    <w:p w14:paraId="6768293F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Альт Сервер 10 после установки кластер PostgreSQL необходимо инициализировать, после чего запустить службу и включить её в автозагрузку: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3BF7A1C7" w14:textId="77777777">
      <w:pPr>
        <w:pStyle w:val="1067"/>
        <w:pBdr/>
        <w:spacing w:after="0" w:before="0" w:line="360" w:lineRule="auto"/>
        <w:ind w:firstLine="720" w:left="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</w:rPr>
        <w:t xml:space="preserve">/etc/init.d/postgresql initdb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57547C04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</w:rPr>
        <w:t xml:space="preserve">systemctl enable --now postgresql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553CBDF5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Создание учётной записи пользователя СУБД и базы данных Zabbix. Все команды выполняются от имени системного пользователя postgres: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50906C92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</w:rPr>
        <w:t xml:space="preserve">postgres -c "createuser --pwprompt zabbix"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0E1FFBE3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</w:rPr>
        <w:t xml:space="preserve">postgres -c "createdb -O zabbix zabbix"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374FF0F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На запрос будет введён пароль для учётной записи zabbix — его необходимо запомнить, так как он понадобится при настройке zabbix_server.conf.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6C2AFBB8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Импорт исходной схемы базы данных и предустановленных данных. В Альт Сервер файлы схемы поставляются в пакете zabbix-common-database-postgresql: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22FD25D8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</w:rPr>
        <w:t xml:space="preserve">zcat /usr/share/doc/zabbix-common-database-postgresql/server.sql.gz | 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eastAsia="Times New Roman" w:cs="Times New Roman"/>
          <w:color w:val="auto"/>
          <w:sz w:val="28"/>
          <w:szCs w:val="28"/>
        </w:rPr>
        <w:t xml:space="preserve">su - postgres -c "psql zabbix"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A4FBC8E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Процесс импорта может занять несколько минут — это нормально, так как создаётся большое количество таблиц и заполняются предустановленные значения для шаблонов, регулярных выражений и стандартной конфигурации.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4389F8E0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Веб-интерфейс Zabbix реализова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 на языке PHP и работает под управлением веб-сервера Apache HTTP Server (либо Nginx). Пакет zabbix-phpfrontend-apache2, установленный на предыдущем шаге, автоматически устанавливает Apache (в Альт Сервер сервис называется httpd2) и необходимые модули PHP.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4E3BF543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Для корректной работы веб-интерфейса требуется откорректировать ряд параметров PHP в файле /etc/httpd2/conf/extra-available/zabbix.conf: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0D3226CF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max_execution_time 600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5924420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memory_limit 256M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3CC2653E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post_max_size 32M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E555A12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upload_max_filesize 16M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4CE41E5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max_input_time 600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86B5D53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max_input_vars 10000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4F0C183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php_value date.timezone Asia/Novosibirsk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6ECA6283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После сохранения изменений необходимо перезапустить службу веб-сервера: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75E668F3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</w:rPr>
        <w:t xml:space="preserve">systemctl restart httpd2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10EF926B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Основной конфигурационный файл сервера Zabbix расположен по пути /etc/zabbix/zabbix_server.conf. В него вносятся параметры подключения к базе данных: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6BFA2A0E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DBHost=localhost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7D420B9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DBName=zabbix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62D2D34F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DBUser=zabbix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931346F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DBPassword=</w:t>
      </w: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P@ssw0rd!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9602A40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DBPort=5432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2BA23DF8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Дополнительно рекомендуется увеличить количество предзапускаемых дочерних процессов опросчиков (poller) и обработчиков trap-сообщений, особенно при планируемом большом количестве контролируемых узлов: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0943FAF2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StartPollers=10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39A7594E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StartPingers=5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68BCCABD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StartTrappers=5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4A43FDFB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StartDiscoverers=3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7C0A4781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CacheSize=64M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0037D36E" w14:textId="77777777">
      <w:pPr>
        <w:pStyle w:val="1067"/>
        <w:pBdr/>
        <w:spacing w:after="0" w:before="0" w:line="360" w:lineRule="auto"/>
        <w:ind w:firstLine="0" w:left="72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HistoryCacheSize=32M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3BF79397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Запуск сервера Zabbix и Apache, включение их в автозагрузку:</w:t>
      </w:r>
      <w:r>
        <w:rPr>
          <w:rFonts w:ascii="Times New Roman" w:hAnsi="Times New Roman" w:eastAsia="Times New Roman" w:cs="Times New Roman"/>
          <w:color w:val="auto"/>
        </w:rPr>
      </w:r>
      <w:r>
        <w:rPr>
          <w:rFonts w:ascii="Times New Roman" w:hAnsi="Times New Roman" w:eastAsia="Times New Roman" w:cs="Times New Roman"/>
          <w:color w:val="auto"/>
        </w:rPr>
      </w:r>
    </w:p>
    <w:p w14:paraId="46CC7B1C" w14:textId="77777777">
      <w:pPr>
        <w:pStyle w:val="1067"/>
        <w:pBdr/>
        <w:spacing w:after="0" w:before="0" w:line="360" w:lineRule="auto"/>
        <w:ind w:firstLine="720" w:left="0"/>
        <w:jc w:val="left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systemctl enable --now zabbix_server zabbix_agentd httpd2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 w14:paraId="37A255B6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Проверка статуса службы выполняется командой systemctl status zabbix_server. В случае проблем диагностика осуществляется по журналу /var/log/zabbix/zabbix_server.log.</w:t>
      </w:r>
      <w:r>
        <w:rPr>
          <w:color w:val="auto"/>
        </w:rPr>
      </w:r>
      <w:r>
        <w:rPr>
          <w:color w:val="auto"/>
        </w:rPr>
      </w:r>
    </w:p>
    <w:p w14:paraId="2375D0F8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После того как сервер Zabbix запущен, можно приступить к настройке веб-интерфейса. Для этого в браузере открывается адрес http://192.168.100.1/zabbix. При первом обращении запускается мастер установки, который проводит пользователя через несколько шагов:</w:t>
      </w:r>
      <w:r>
        <w:rPr>
          <w:color w:val="auto"/>
        </w:rPr>
      </w:r>
      <w:r>
        <w:rPr>
          <w:color w:val="auto"/>
        </w:rPr>
      </w:r>
    </w:p>
    <w:p w14:paraId="79E7864F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1 — приветственный экран и выбор языка интерфейса (русский, английский и др.).</w:t>
      </w:r>
      <w:r>
        <w:rPr>
          <w:color w:val="auto"/>
        </w:rPr>
      </w:r>
      <w:r>
        <w:rPr>
          <w:color w:val="auto"/>
        </w:rPr>
      </w:r>
    </w:p>
    <w:p w14:paraId="459D2F37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2 — проверка предустановле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нных условий. Мастер проверяет наличие необходимых расширений PHP, корректность настроек php.ini, доступность временных каталогов. Все пункты должны быть отмечены как «OK». В случае предупреждений необходимо устранить замечания и нажать кнопку «Повторить».</w:t>
      </w:r>
      <w:r>
        <w:rPr>
          <w:color w:val="auto"/>
        </w:rPr>
      </w:r>
      <w:r>
        <w:rPr>
          <w:color w:val="auto"/>
        </w:rPr>
      </w:r>
    </w:p>
    <w:p w14:paraId="4541199B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3 — настройка подключения к базе данных. Указывается тип СУБД (PostgreSQL), хост (localhost), порт (5432), имя БД (zabbix), пользователь (zabbix) и пароль, заданный ранее.</w:t>
      </w:r>
      <w:r>
        <w:rPr>
          <w:color w:val="auto"/>
        </w:rPr>
      </w:r>
      <w:r>
        <w:rPr>
          <w:color w:val="auto"/>
        </w:rPr>
      </w:r>
    </w:p>
    <w:p w14:paraId="36A178BC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4 — настройка параметров сервера: имя экземпляра Zabbix, временная зона по умолчанию, цветовая схема.</w:t>
      </w:r>
      <w:r>
        <w:rPr>
          <w:color w:val="auto"/>
        </w:rPr>
      </w:r>
      <w:r>
        <w:rPr>
          <w:color w:val="auto"/>
        </w:rPr>
      </w:r>
    </w:p>
    <w:p w14:paraId="2E662994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Шаг 5 — итоговый обзор конфигурации и сохранение конфигурационного файла /etc/zabbix/web/zabbix.conf.php.</w:t>
      </w:r>
      <w:r>
        <w:rPr>
          <w:color w:val="auto"/>
        </w:rPr>
      </w:r>
      <w:r>
        <w:rPr>
          <w:color w:val="auto"/>
        </w:rPr>
      </w:r>
    </w:p>
    <w:p w14:paraId="71263F9C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После завершения работы мастера на экране отображается фор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ма входа в систему. Используются стандартные учётные данные для первого входа: имя пользователя — Admin, пароль — zabbix. На рисунке 2 изображён пример. Эти данные обязательно нужно сменить сразу после входа через раздел «Администрирование → Пользователи».</w:t>
      </w:r>
      <w:r>
        <w:rPr>
          <w:color w:val="auto"/>
        </w:rPr>
      </w:r>
      <w:r>
        <w:rPr>
          <w:color w:val="auto"/>
        </w:rPr>
      </w:r>
    </w:p>
    <w:p w14:paraId="60D3A1B1" w14:textId="77777777">
      <w:pPr>
        <w:pStyle w:val="1067"/>
        <w:pBdr/>
        <w:spacing w:after="0" w:before="0" w:line="360" w:lineRule="auto"/>
        <w:ind w:firstLine="0"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275"/>
                <wp:effectExtent l="0" t="0" r="0" b="0"/>
                <wp:docPr id="3" name="Изображение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Изображение2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600" cy="3724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93.2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t xml:space="preserve">Рисунок 2 - вход в экосистему Zabbix</w:t>
      </w:r>
      <w:r/>
    </w:p>
    <w:p w14:paraId="3A8DAFE5">
      <w:pPr>
        <w:pStyle w:val="1067"/>
        <w:pBdr/>
        <w:spacing w:after="0" w:before="0" w:line="360" w:lineRule="auto"/>
        <w:ind w:firstLine="0"/>
        <w:jc w:val="center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845B1E" w14:textId="77777777">
      <w:pPr>
        <w:pStyle w:val="1069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6" w:name="_Toc2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3.4 Установка и настройка агента Zabbix на контролируемых узлах</w:t>
      </w:r>
      <w:bookmarkEnd w:id="6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6E4FE37B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3688E3A8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глубокого мони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торинга операционных систем и прикладного ПО на контролируемые узлы устанавливается агент Zabbix. Классический Zabbix Agent обеспечивает широкий набор готовых проверок «из коробки» и поставляется в составе официального репозитория платформы Альт Сервер 10.</w:t>
      </w:r>
      <w:r/>
    </w:p>
    <w:p w14:paraId="5395C129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Установка агента на Linux-узлы под управлением Альт Сервер 10 (на примере srv-file-01):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0A78E92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sz w:val="28"/>
          <w:szCs w:val="28"/>
        </w:rPr>
        <w:t xml:space="preserve">apt-get install zabbix-agent -y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C4B0CE1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Редактирование конфигурационного файла /etc/zabbix/zabbix_agentd.conf: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E9B50A6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Server=192.168.100.1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68AE88C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ServerActive=192.168.100.1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6FAACA8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EnableRemoteCommands=0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CAE289B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Параметр Server задаёт IP-адрес сервера Zabbix, кото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рому разрешено опрашивать данный агент (пассивные проверки). ServerActive указывает сервер, к которому агент будет подключаться самостоятельно для отправки активных проверок. Hostname должен точно совпадать с именем хоста, заданным в веб-интерфейсе Zabbix.</w:t>
      </w:r>
      <w:r/>
    </w:p>
    <w:p w14:paraId="76443B26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Запуск агента и включение в автозагрузку:</w:t>
      </w:r>
      <w:r/>
    </w:p>
    <w:p w14:paraId="37A4E9E9" w14:textId="77777777">
      <w:pPr>
        <w:pStyle w:val="1067"/>
        <w:pBdr/>
        <w:spacing w:after="0" w:before="0" w:line="360" w:lineRule="auto"/>
        <w:ind w:firstLine="144" w:left="720"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eastAsia="Times New Roman" w:cs="Times New Roman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sz w:val="28"/>
          <w:szCs w:val="28"/>
          <w:highlight w:val="none"/>
        </w:rPr>
        <w:t xml:space="preserve">systemctl enable --now zabbix_agentd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315FD29" w14:textId="7D470235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После установки и добавления узла в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Zabbix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доступность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загорится зелёным, что означает, что клиент присоединился, и работает, ка показано на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нке 3.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1D81A951" w14:textId="345EC1CD">
      <w:pPr>
        <w:pStyle w:val="1067"/>
        <w:pBdr/>
        <w:spacing w:after="0" w:before="0" w:line="360" w:lineRule="auto"/>
        <w:ind w:firstLine="864"/>
        <w:jc w:val="center"/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86175"/>
                <wp:effectExtent l="0" t="0" r="0" b="0"/>
                <wp:docPr id="4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10433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600" cy="3686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90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Рисунок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3 - доступность узла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039E5707">
      <w:pPr>
        <w:pStyle w:val="1067"/>
        <w:pBdr/>
        <w:spacing w:after="0" w:before="0" w:line="360" w:lineRule="auto"/>
        <w:ind w:firstLine="864"/>
        <w:jc w:val="center"/>
        <w:rPr>
          <w:rFonts w:eastAsia="Times New Roman" w:cs="Times New Roman"/>
          <w:b w:val="0"/>
          <w:bCs w:val="0"/>
          <w:i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</w:p>
    <w:p w14:paraId="4AC2E1E7" w14:textId="77777777">
      <w:pPr>
        <w:pStyle w:val="1069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7" w:name="_Toc3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3.5 Настройка мониторинга сетевого оборудования по SNMP</w:t>
      </w:r>
      <w:bookmarkEnd w:id="6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4EB5CA09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32BFDADD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организации мониторинга сетевого оборудования и серверов широко используется протокол SNMP (Simple Network Management Protocol). Данный протокол позволяет системе мониторинга получать информацию о состоянии устройства, 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сетевых интерфейсах, загрузке процессора, использовании памяти и других параметрах. В рамках дипломного проекта SNMP был настроен на операционной системе ALT JeOS, выполняющей функции маршрутизатора, с последующим подключением к системе мониторинга Zabbix.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0C29B78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работы протокола SNMP в операционной системе ALT JeOS используется пакет net-snmp. Установка программного обеспечения выполнялась при помощи менеджера пакетов apt-get: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BD266ED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color w:val="auto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highlight w:val="none"/>
          <w:lang w:val="ru-RU"/>
        </w:rPr>
        <w:t xml:space="preserve">apt-get update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</w:p>
    <w:p w14:paraId="728E1637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pPr>
      <w:r>
        <w:rPr>
          <w:rFonts w:eastAsia="Times New Roman" w:cs="Times New Roman"/>
          <w:color w:val="auto"/>
          <w:sz w:val="28"/>
          <w:szCs w:val="28"/>
          <w:highlight w:val="none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highlight w:val="none"/>
          <w:lang w:val="ru-RU"/>
        </w:rPr>
        <w:t xml:space="preserve">apt-get install net-snmp net-snmp-utils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highlight w:val="none"/>
        </w:rPr>
      </w:r>
    </w:p>
    <w:p w14:paraId="4C590BF7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установки в системе становится доступен демон snmpd, обеспечивающий обработку SNMP-запросов.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50CDEDC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Настройка SNMP-агента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824E28F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Основной файл конфигурации SNMP расположен по пути: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BD48506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/etc/snmp/snmpd.conf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815D584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настройки доступа был изменён конфигурационный файл следующим образом: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6B58860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agentAddress udp:161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2696396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rocommunity mypublic 192.168.100.1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E486E58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sysLocation ServerRoom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3460DD4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sysContact admin@local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D2BF42A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sysName ALT-JEOS-Router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7781882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Параметр agentAddress udp:161 указывает SNMP-агенту прослушивать UDP-порт 161, используемый протоколом SNMP.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998E0D6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Директива rocommunity задаёт community string mypublic и разрешает подключение только с IP-адреса сервера мониторинга 192.168.100.1.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53020936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Параметры sysLocation, sysContact и sysName содержат служебную информацию об устройстве.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F34DC54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внесения изменений служба SNMP была перезапущена: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F426111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systemctl restart snmpd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BEA995D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автоматического запуска службы после загрузки системы использовалась команда: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3D5BF1A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  <w:t xml:space="preserve">#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systemctl enable snmpd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628D6FC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настройки SNMP устройство было добавлено в систему мониторинга Zabbix. В веб-интерфейсе Zabbix был создан новый хост с указанием следующих параметров: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4AAB9E1" w14:textId="77777777">
      <w:pPr>
        <w:pStyle w:val="1067"/>
        <w:numPr>
          <w:ilvl w:val="0"/>
          <w:numId w:val="2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тип интерфейса — SNMP;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C3A559F" w14:textId="77777777">
      <w:pPr>
        <w:pStyle w:val="1067"/>
        <w:numPr>
          <w:ilvl w:val="0"/>
          <w:numId w:val="2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IP-адрес устройства — 192.168.100.3;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8ADB3FC" w14:textId="77777777">
      <w:pPr>
        <w:pStyle w:val="1067"/>
        <w:numPr>
          <w:ilvl w:val="0"/>
          <w:numId w:val="2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порт — 161;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F54BFE1" w14:textId="77777777">
      <w:pPr>
        <w:pStyle w:val="1067"/>
        <w:numPr>
          <w:ilvl w:val="0"/>
          <w:numId w:val="2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версия SNMP — SNMPv2;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EB5FB50" w14:textId="77777777">
      <w:pPr>
        <w:pStyle w:val="1067"/>
        <w:numPr>
          <w:ilvl w:val="0"/>
          <w:numId w:val="2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community string — mypublic.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CE9A75B" w14:textId="47FEE578">
      <w:pPr>
        <w:pStyle w:val="1067"/>
        <w:pBdr/>
        <w:spacing w:after="0" w:before="0" w:line="360" w:lineRule="auto"/>
        <w:ind w:firstLine="0"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Через несколько минут данный узел будет активен для мониторинга, как показано на рисунке 4.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F7C954B" w14:textId="4838C87A">
      <w:pPr>
        <w:pStyle w:val="1067"/>
        <w:pBdr/>
        <w:spacing w:after="0" w:before="0" w:line="360" w:lineRule="auto"/>
        <w:ind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5" name="Изображение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Изображение3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600" cy="3714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92.5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t xml:space="preserve">Рисунок 4 - активация узла</w:t>
      </w:r>
      <w:r/>
    </w:p>
    <w:p w14:paraId="2008BABC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автоматического сбора метрик был подключён шаблон Linux by SNMP.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9BC233C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подключения шаблона система мониторинга начала получать следующие параметры: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58F20A2F" w14:textId="77777777">
      <w:pPr>
        <w:pStyle w:val="1067"/>
        <w:numPr>
          <w:ilvl w:val="0"/>
          <w:numId w:val="1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загрузка процессора;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9918343" w14:textId="77777777">
      <w:pPr>
        <w:pStyle w:val="1067"/>
        <w:numPr>
          <w:ilvl w:val="0"/>
          <w:numId w:val="1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использование оперативной памяти;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E8B4FCD" w14:textId="77777777">
      <w:pPr>
        <w:pStyle w:val="1067"/>
        <w:numPr>
          <w:ilvl w:val="0"/>
          <w:numId w:val="1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сетевой трафик;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FD713A3" w14:textId="77777777">
      <w:pPr>
        <w:pStyle w:val="1067"/>
        <w:numPr>
          <w:ilvl w:val="0"/>
          <w:numId w:val="1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состояние сетевых интерфейсов;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C73560B" w14:textId="77777777">
      <w:pPr>
        <w:pStyle w:val="1067"/>
        <w:numPr>
          <w:ilvl w:val="0"/>
          <w:numId w:val="1"/>
        </w:numPr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время непрерывной работы системы.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eastAsia="Times New Roman" w:cs="Times New Roman"/>
          <w:b w:val="0"/>
          <w:bCs w:val="0"/>
          <w:i w:val="0"/>
          <w:iCs w:val="0"/>
          <w:color w:val="c8201e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c8201e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c8201e"/>
          <w:sz w:val="28"/>
          <w:szCs w:val="28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9FB78F6">
      <w:pPr>
        <w:pStyle w:val="1067"/>
        <w:pBdr/>
        <w:spacing w:after="0" w:before="0" w:line="360" w:lineRule="auto"/>
        <w:ind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b w:val="0"/>
          <w:bCs w:val="0"/>
          <w:i w:val="0"/>
          <w:iCs w:val="0"/>
          <w:color w:val="c8201e"/>
          <w:sz w:val="28"/>
          <w:szCs w:val="28"/>
          <w:highlight w:val="none"/>
          <w:lang w:val="ru-RU" w:bidi="ru-RU"/>
        </w:rPr>
      </w:r>
      <w:r>
        <w:rPr>
          <w:rFonts w:eastAsia="Times New Roman" w:cs="Times New Roman"/>
          <w:b w:val="0"/>
          <w:bCs w:val="0"/>
          <w:i w:val="0"/>
          <w:iCs w:val="0"/>
          <w:color w:val="c8201e"/>
          <w:sz w:val="28"/>
          <w:szCs w:val="28"/>
          <w:highlight w:val="none"/>
          <w:lang w:val="ru-RU" w:bidi="ru-RU"/>
        </w:rPr>
      </w:r>
      <w:r>
        <w:rPr>
          <w:rFonts w:eastAsia="Times New Roman" w:cs="Times New Roman"/>
          <w:b w:val="0"/>
          <w:bCs w:val="0"/>
          <w:i w:val="0"/>
          <w:iCs w:val="0"/>
          <w:color w:val="c8201e"/>
          <w:sz w:val="28"/>
          <w:szCs w:val="28"/>
          <w:highlight w:val="none"/>
          <w:lang w:val="ru-RU"/>
        </w:rPr>
      </w:r>
    </w:p>
    <w:p w14:paraId="2ABDA53C" w14:textId="77777777">
      <w:pPr>
        <w:pStyle w:val="1069"/>
        <w:suppressLineNumbers w:val="false"/>
        <w:pBdr/>
        <w:spacing w:after="0" w:before="0" w:line="360" w:lineRule="auto"/>
        <w:ind w:firstLine="864"/>
        <w:jc w:val="left"/>
        <w:outlineLvl w:val="1"/>
        <w:rPr>
          <w:color w:val="auto"/>
          <w:highlight w:val="none"/>
        </w:rPr>
      </w:pPr>
      <w:r/>
      <w:bookmarkStart w:id="68" w:name="_Toc3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3.6 Настройка триггеров и оповещений</w:t>
      </w:r>
      <w:bookmarkEnd w:id="68"/>
      <w:r>
        <w:rPr>
          <w:color w:val="auto"/>
        </w:rPr>
      </w:r>
      <w:r>
        <w:rPr>
          <w:color w:val="auto"/>
        </w:rPr>
      </w:r>
    </w:p>
    <w:p w14:paraId="098B42AF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color w:val="auto"/>
        </w:rPr>
      </w:pPr>
      <w:r>
        <w:rPr>
          <w:color w:val="auto"/>
          <w:highlight w:val="none"/>
        </w:rPr>
      </w:r>
      <w:r>
        <w:rPr>
          <w:color w:val="auto"/>
          <w:highlight w:val="none"/>
        </w:rPr>
      </w:r>
      <w:r>
        <w:rPr>
          <w:color w:val="auto"/>
          <w:highlight w:val="none"/>
        </w:rPr>
      </w:r>
    </w:p>
    <w:p w14:paraId="014F55FE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Триггер в Zabbix — это логическое выражение, оценивающее собранные метрики и определяющее состояние «проблема / норма». Большинство необходимых триггеров уже описаны в стандартных шаблонах, однако при необходимости их можно создавать и вручную.</w:t>
      </w:r>
      <w:r>
        <w:rPr>
          <w:color w:val="auto"/>
        </w:rPr>
      </w:r>
      <w:r>
        <w:rPr>
          <w:color w:val="auto"/>
        </w:rPr>
      </w:r>
    </w:p>
    <w:p w14:paraId="69A162BA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Настройка email-уведомлений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410F4EDC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организации автоматических уведомлений была настроена отправка сообщений через SMTP-сервер </w:t>
      </w:r>
      <w:hyperlink r:id="rId25" w:tooltip="https://mail.google.com/?utm_source=chatgpt.com" w:history="1">
        <w:r>
          <w:rPr>
            <w:rStyle w:val="1074"/>
            <w:rFonts w:eastAsia="Times New Roman" w:cs="Times New Roman"/>
            <w:color w:val="auto"/>
            <w:sz w:val="28"/>
            <w:szCs w:val="28"/>
            <w:u w:val="single"/>
            <w:lang w:val="ru-RU"/>
          </w:rPr>
          <w:t xml:space="preserve">Gmail</w:t>
        </w:r>
      </w:hyperlink>
      <w:r>
        <w:rPr>
          <w:rFonts w:eastAsia="Times New Roman" w:cs="Times New Roman"/>
          <w:color w:val="auto"/>
          <w:sz w:val="28"/>
          <w:szCs w:val="28"/>
          <w:u w:val="single"/>
          <w:lang w:val="ru-RU"/>
        </w:rPr>
        <w:t xml:space="preserve">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933FEBE" w14:textId="6A449A2B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В веб-интерфейсе 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Zabbix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 был создан тип уведомлений «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Email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» со следующими параметрами на рисунке 5: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79BEFB1B" w14:textId="36F7FF16">
      <w:pPr>
        <w:pStyle w:val="1067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52850"/>
                <wp:effectExtent l="0" t="0" r="0" b="0"/>
                <wp:docPr id="6" name="Изображение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Изображение4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600" cy="37528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95.5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t xml:space="preserve">Рисунок 5 - параметры почты</w:t>
      </w:r>
      <w:r/>
    </w:p>
    <w:p w14:paraId="4281DC0D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обеспечения безопасной аутентификации был создан отдельный пароль приложения Google, используемый вместо обычного пароля учетной записи.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AEAA1B4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настройки SMTP была успешно выполнена тестовая отправка email-сообщения средствами Zabbix.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233AF568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Настройка действий и триггеров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1CB9F486" w14:textId="3DDE6BBA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Для автоматической отправки уведомлений пользователю была создана операция (Action), связанная с возникновением событий мониторинга, показывающие на рисунке 6.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BE9039A" w14:textId="66226E3F">
      <w:pPr>
        <w:pStyle w:val="1067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275"/>
                <wp:effectExtent l="0" t="0" r="0" b="0"/>
                <wp:docPr id="7" name="Изображение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Изображение5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600" cy="3724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93.2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t xml:space="preserve">Рисунок 6 - триггер</w:t>
      </w:r>
      <w:r/>
    </w:p>
    <w:p w14:paraId="483DF138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Также был создан тестовый триггер для проверки механизма оповещений: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041AA0DB" w14:textId="7777777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last(/Zabbix server/system.uptime)&lt;999999999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61F07C82" w14:textId="6C8EE7A7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Данный триггер гарантированно переходил в состояние PROBLEM, что позволяло проверить корректность формирования уведомлений, изображенной на рисунке 7.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0E3FE3D" w14:textId="700AD0D4">
      <w:pPr>
        <w:pStyle w:val="1067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52850"/>
                <wp:effectExtent l="0" t="0" r="0" b="0"/>
                <wp:docPr id="8" name="Изображение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Изображение6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600" cy="37528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95.5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t xml:space="preserve">Рисунок 7 - Обнаружение проблемы</w:t>
      </w:r>
      <w:r/>
    </w:p>
    <w:p w14:paraId="4EFD2C0D" w14:textId="6646E9EA">
      <w:pPr>
        <w:pStyle w:val="1067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pP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После срабатывания триггера система успешно отправила 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email</w:t>
      </w:r>
      <w:r>
        <w:rPr>
          <w:rFonts w:eastAsia="Times New Roman" w:cs="Times New Roman"/>
          <w:color w:val="auto"/>
          <w:sz w:val="28"/>
          <w:szCs w:val="28"/>
          <w:lang w:val="ru-RU"/>
        </w:rPr>
        <w:t xml:space="preserve">-уведомление администратору, на рисунке 8 показана почта с уведомлением и кодом ошибки.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</w:r>
    </w:p>
    <w:p w14:paraId="34CE0A41" w14:textId="77777777">
      <w:pPr>
        <w:pStyle w:val="1067"/>
        <w:pBdr/>
        <w:spacing w:after="0" w:before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09850" cy="3578860"/>
                <wp:effectExtent l="0" t="0" r="0" b="0"/>
                <wp:docPr id="9" name="Изображение7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Изображение7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2609850" cy="35788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05.50pt;height:281.80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 w14:paraId="11A3813B" w14:textId="798E3E8E">
      <w:pPr>
        <w:pStyle w:val="1067"/>
        <w:pBdr/>
        <w:spacing w:after="0" w:before="0" w:line="360" w:lineRule="auto"/>
        <w:ind w:firstLine="0"/>
        <w:jc w:val="center"/>
        <w:rPr/>
      </w:pPr>
      <w:r>
        <w:t xml:space="preserve">Рисунок 8 - почта</w:t>
      </w:r>
      <w:r/>
    </w:p>
    <w:p w14:paraId="77007849" w14:textId="77777777">
      <w:pPr>
        <w:pStyle w:val="1069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69" w:name="_Toc3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3.7 Проверка работоспособности системы</w:t>
      </w:r>
      <w:bookmarkEnd w:id="69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47882E55">
      <w:pPr>
        <w:pStyle w:val="1069"/>
        <w:pBdr/>
        <w:spacing w:after="0" w:before="0" w:line="360" w:lineRule="auto"/>
        <w:ind w:firstLine="864"/>
        <w:jc w:val="both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7EA4DDEE" w14:textId="51317570">
      <w:pPr>
        <w:pStyle w:val="1067"/>
        <w:pBdr/>
        <w:spacing w:after="6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После завершения настройки была проведена комплексная проверка работоспособности системы мониторинга по нескольким сценариям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, на рисунках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9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и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10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показана загруженность процессора на сервере и клиенте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.</w:t>
      </w:r>
      <w:r/>
    </w:p>
    <w:p w14:paraId="238B99C7" w14:textId="284C3B35">
      <w:pPr>
        <w:pStyle w:val="1067"/>
        <w:pBdr/>
        <w:spacing w:after="60" w:before="0" w:line="360" w:lineRule="auto"/>
        <w:ind w:firstLine="0"/>
        <w:jc w:val="center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275"/>
                <wp:effectExtent l="0" t="0" r="0" b="0"/>
                <wp:docPr id="10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44480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600" cy="3724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93.2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Рисунок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9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- нагрузка сервера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3433B86B" w14:textId="5A83673D">
      <w:pPr>
        <w:pStyle w:val="1067"/>
        <w:pBdr/>
        <w:spacing w:after="60" w:before="0" w:line="360" w:lineRule="auto"/>
        <w:ind w:firstLine="0"/>
        <w:jc w:val="center"/>
        <w:rPr>
          <w:iCs w:val="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79592" cy="3724275"/>
                <wp:effectExtent l="0" t="0" r="0" b="0"/>
                <wp:docPr id="11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9605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5579592" cy="3724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39.34pt;height:293.25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686D23AF">
      <w:pPr>
        <w:pStyle w:val="1067"/>
        <w:pBdr/>
        <w:spacing w:after="60" w:before="0" w:line="360" w:lineRule="auto"/>
        <w:ind w:firstLine="0"/>
        <w:jc w:val="center"/>
        <w:rPr>
          <w:rFonts w:eastAsia="Times New Roman" w:cs="Times New Roman"/>
          <w:b w:val="0"/>
          <w:bCs w:val="0"/>
          <w:i w:val="0"/>
          <w:sz w:val="28"/>
          <w:szCs w:val="28"/>
        </w:rPr>
      </w:pPr>
      <w:r/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Рисунок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10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- нагрузка клиента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/>
    </w:p>
    <w:p w14:paraId="45CF15F0">
      <w:pPr>
        <w:pStyle w:val="1067"/>
        <w:suppressLineNumbers w:val="false"/>
        <w:pBdr/>
        <w:spacing w:after="0" w:before="0" w:line="360" w:lineRule="auto"/>
        <w:ind w:firstLine="856"/>
        <w:jc w:val="left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Проверка 1. Контроль состояния агентов. В разделе «Мониторинг → Узлы сети» все добавленные узлы (</w:t>
      </w:r>
      <w:r>
        <w:rPr>
          <w:rFonts w:eastAsia="Times New Roman" w:cs="Times New Roman"/>
          <w:b w:val="0"/>
          <w:bCs w:val="0"/>
          <w:color w:val="auto"/>
          <w:sz w:val="28"/>
          <w:szCs w:val="28"/>
        </w:rPr>
        <w:t xml:space="preserve">srv-zabbix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, cli-lin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ux-01, gw-router-01) отображались с активным статусом — индикаторы доступности агента и SNMP были зелёными. В колонке «Последний контакт» отображалось актуальное время сбора данных (расхождение с текущим временем не превышало интервала опроса в 60 секунд), ранее уже показанной.</w:t>
      </w:r>
      <w:r/>
      <w:r>
        <w:rPr>
          <w:color w:val="auto"/>
        </w:rPr>
      </w:r>
    </w:p>
    <w:p w14:paraId="18EBE73A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Пров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ерка 2. Имитация отказа узла. Для проверки корректности срабатывания триггеров было выполнено отключение виртуальной машины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cli-linux-01</w:t>
      </w:r>
      <w:r/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. Спустя 60 секунд (длительность интервала проверки доступности) Zabbix зафиксировал отсутствие отклика и в разделе «Мони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торинг → Проблемы» появилась запись с уровнем «Высокий» — «Zabbix agent is not available on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cli-linux-01</w:t>
      </w:r>
      <w:r/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». После повторного включения виртуальной машины статус автоматически восстановился, а в журнале проблем была проставлена отметка о завершении инцидента, показана на рисунке 11.</w:t>
      </w:r>
      <w:r>
        <w:rPr>
          <w:highlight w:val="none"/>
        </w:rPr>
      </w:r>
    </w:p>
    <w:p w14:paraId="56918548">
      <w:pPr>
        <w:pStyle w:val="1067"/>
        <w:suppressLineNumbers w:val="false"/>
        <w:pBdr/>
        <w:spacing w:after="0" w:before="0" w:line="360" w:lineRule="auto"/>
        <w:ind w:firstLine="0"/>
        <w:jc w:val="center"/>
        <w:rPr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81819" cy="309483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38132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6081819" cy="3094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78.88pt;height:243.69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/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</w:p>
    <w:p w14:paraId="53E54DB9">
      <w:pPr>
        <w:pStyle w:val="1067"/>
        <w:pBdr/>
        <w:spacing w:after="0" w:before="0" w:line="360" w:lineRule="auto"/>
        <w:ind w:firstLine="864"/>
        <w:jc w:val="center"/>
        <w:rPr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Рисунок 11 -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  <w:lang w:val="ru-RU"/>
        </w:rPr>
        <w:t xml:space="preserve">проблемы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</w:p>
    <w:p w14:paraId="131A0E86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Проверка 3. Контроль производительности. На сервере был искусственно создан стресс-тест ЦП с помощью утилиты stress-ng. Метрики загрузки процессора, отображаемые в Zabbix, выросли с 5–7% до 95–100%, изображено на рисунке 12.</w:t>
      </w:r>
      <w:r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r>
    </w:p>
    <w:p w14:paraId="63C6A4EB">
      <w:pPr>
        <w:pStyle w:val="1067"/>
        <w:suppressLineNumbers w:val="false"/>
        <w:pBdr/>
        <w:spacing w:after="0" w:before="0" w:line="360" w:lineRule="auto"/>
        <w:ind w:firstLine="0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612622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09390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5612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441.94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</w:p>
    <w:p w14:paraId="124775E5">
      <w:pPr>
        <w:pStyle w:val="1067"/>
        <w:pBdr/>
        <w:spacing w:after="0" w:before="0" w:line="360" w:lineRule="auto"/>
        <w:ind w:firstLine="864"/>
        <w:jc w:val="center"/>
        <w:rPr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Рисунок 12 – нагрузка процессора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</w:p>
    <w:p w14:paraId="46CA134E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Проверка 4. Мониторинг сетевого оборудования. По SNMP-данным с коммутатор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а sw-core-01 успешно собирались следующие метрики: статус каждого физического порта (Up/Down), скорость подключения и режим (full duplex / half duplex), счётчики входящего и исходящего трафика в битах в секунду, количество ошибок CRC и отброшенных пакетов.</w:t>
      </w:r>
      <w:r>
        <w:rPr>
          <w:highlight w:val="none"/>
        </w:rPr>
      </w:r>
      <w:r>
        <w:rPr>
          <w:highlight w:val="none"/>
        </w:rPr>
      </w:r>
    </w:p>
    <w:p w14:paraId="7752258F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Проверка 5. Визуализация. В разделе «Мониторинг → Панели» был создан сводный дашборд, отображающий ключевые метрики стенда: текущее количество активных проблем, состояние всех узлов, графики з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агрузки CPU и оперативной памяти сервера и рабочей станции, диаграмму утилизации основных сетевых интерфейсов коммутатора. Дашборд автоматически обновлялся каждые 30 секунд и обеспечивал наглядное представление состояния всей контролируемой инфраструктуры, изображённой на рисунке 13.</w:t>
      </w:r>
      <w:r>
        <w:rPr>
          <w:highlight w:val="none"/>
        </w:rPr>
      </w:r>
    </w:p>
    <w:p w14:paraId="64E7FB85">
      <w:pPr>
        <w:pStyle w:val="1067"/>
        <w:pBdr/>
        <w:spacing w:after="0" w:before="0" w:line="360" w:lineRule="auto"/>
        <w:ind w:firstLine="0"/>
        <w:jc w:val="both"/>
        <w:rPr>
          <w:rFonts w:eastAsia="Times New Roman" w:cs="Times New Roman"/>
          <w:b w:val="0"/>
          <w:bCs w:val="0"/>
          <w:i w:val="0"/>
          <w:sz w:val="28"/>
          <w:szCs w:val="28"/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225143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7084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42251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332.69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highlight w:val="none"/>
        </w:rPr>
      </w:r>
    </w:p>
    <w:p w14:paraId="5101CB3F">
      <w:pPr>
        <w:pStyle w:val="1067"/>
        <w:pBdr/>
        <w:spacing w:after="0" w:before="0" w:line="360" w:lineRule="auto"/>
        <w:ind w:firstLine="0"/>
        <w:jc w:val="center"/>
        <w:rPr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Рисунок 13 - дашборд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</w:r>
    </w:p>
    <w:p w14:paraId="37661B0B" w14:textId="77777777">
      <w:pPr>
        <w:pStyle w:val="1067"/>
        <w:pBdr/>
        <w:spacing w:after="0" w:before="0" w:line="360" w:lineRule="auto"/>
        <w:ind w:firstLine="864"/>
        <w:jc w:val="both"/>
        <w:rPr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Проведённые проверки подтвердили, что развёрнутая система мониторинга на базе Zabbi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x полностью функциональна: корректно собирает данные с разнородных узлов, своевременно фиксирует отклонения от нормы, отправляет уведомления и наглядно отображает текущее состояние ЛВС. Цели практической части дипломного проекта достигнуты в полном объёме.</w:t>
      </w:r>
      <w:r>
        <w:rPr>
          <w:highlight w:val="none"/>
        </w:rPr>
      </w:r>
      <w:r>
        <w:rPr>
          <w:highlight w:val="none"/>
        </w:rPr>
      </w:r>
    </w:p>
    <w:p w14:paraId="62EBF3C5" w14:textId="77777777">
      <w:pPr>
        <w:pStyle w:val="1067"/>
        <w:pBdr/>
        <w:spacing/>
        <w:ind/>
        <w:rPr/>
      </w:pPr>
      <w:r>
        <w:br w:type="page" w:clear="all"/>
      </w:r>
      <w:r/>
    </w:p>
    <w:p w14:paraId="6D98A12B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22925C5E" w14:textId="77777777">
      <w:pPr>
        <w:pStyle w:val="1068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70" w:name="_Toc3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ГЛАВА 4. ЭКОНОМИЧЕСКОЕ ОБОСНОВАНИЕ ПРОЕКТА</w:t>
      </w:r>
      <w:bookmarkEnd w:id="70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02B71DD1">
      <w:pPr>
        <w:pStyle w:val="1068"/>
        <w:suppressLineNumbers w:val="false"/>
        <w:pBdr/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27732E33" w14:textId="77777777">
      <w:pPr>
        <w:pStyle w:val="1069"/>
        <w:suppressLineNumbers w:val="false"/>
        <w:pBdr/>
        <w:spacing w:after="0" w:before="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71" w:name="_Toc3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4.1 Состав затрат на внедрение системы мониторинга</w:t>
      </w:r>
      <w:bookmarkEnd w:id="71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190B4CBE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4CD0D3FF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При оценке экономической составляющей проекта внедрения системы мониторинга необходимо учитывать все статьи затрат, возникающих на этапе развёртывания. По условия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м работы стоимость серверной аппаратной платформы в расчёт не включается, поскольку под систему мониторинга используется уже имеющееся у организации оборудование (или арендуемая виртуальная машина, расходы на которую учитываются в общей IT-инфраструктуре).</w:t>
      </w:r>
      <w:r/>
    </w:p>
    <w:p w14:paraId="08E07FBC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Все программные компоненты, используемые в проекте, относятся к свободному программному обеспечению и распространяются бесплатно: операционная система Альт Сер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вер 10 поставляется ООО «Базальт СПО» по свободной лицензии (большинство пакетов — GNU GPL и сопутствующие свободные лицензии) и входит в Единый реестр российского ПО Минцифры России, СУБД PostgreSQL — по собственной свободной лицензии PostgreSQL License,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веб-сервер Apache HTTP Server — по лицензии Apache 2.0, сама система Zabbix Server (включая Zabbix Agent и стандартные шаблоны) — по лицензии GNU GPL v2. Таким образом, расходы на приобретение программного обеспечения отсутствуют — стоимость ПО равна нулю.</w:t>
      </w:r>
      <w:r/>
    </w:p>
    <w:p w14:paraId="784A0921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Основной статьёй затрат становится оплата труда специалиста, выполняющего работы по установке, настройке и тестированию системы. Для расчёта принята условная стоимость часа работы системного администратора в размере 1500 рублей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, что соответствует средней рыночной ставке для специалистов начального уровня в Новосибирском регионе по состоянию на 2026 год. Общий объём трудозатрат на полный цикл внедрения системы на описанный в главе 3 тестовый стенд оценивается в 20 человеко-часов.</w:t>
      </w:r>
      <w:r/>
    </w:p>
    <w:p w14:paraId="2A40C9EC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  <w:lang w:val="ru-RU"/>
        </w:rPr>
        <w:t xml:space="preserve">Была подсчитана примерная стоимость сервера на базе системы Zabbix для малого бизнеса. Сам сервер можно купить в магазине или на интернет-площадках по продаже техники. Для среднего и крупного бизнеса понадобится более надежное оборудование.</w:t>
      </w:r>
      <w:r>
        <w:rPr>
          <w:color w:val="auto"/>
        </w:rPr>
      </w:r>
      <w:r>
        <w:rPr>
          <w:color w:val="auto"/>
        </w:rPr>
      </w:r>
    </w:p>
    <w:p w14:paraId="55BAC964" w14:textId="77777777">
      <w:pPr>
        <w:pStyle w:val="1067"/>
        <w:pBdr/>
        <w:spacing w:line="360" w:lineRule="auto"/>
        <w:ind w:firstLine="864"/>
        <w:jc w:val="both"/>
        <w:rPr>
          <w:highlight w:val="none"/>
        </w:rPr>
      </w:pPr>
      <w:r>
        <w:rPr>
          <w:highlight w:val="none"/>
          <w:lang w:val="ru-RU"/>
        </w:rPr>
        <w:t xml:space="preserve">Подбор конфигурации оборудования выполнен с учетом минимальных системных требований для стабильной работы виртуальных машин и сервисов мониторинга. В качестве операционных систем используются решения семейства «Альт», такие как ALT Server, ALT   </w:t>
      </w:r>
      <w:r>
        <w:rPr>
          <w:rFonts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</w:rPr>
        <w:t xml:space="preserve">Workstation, ALT Je</w:t>
      </w:r>
      <w:r>
        <w:rPr>
          <w:rFonts w:eastAsia="Times New Roman" w:cs="Times New Roman"/>
          <w:b w:val="0"/>
          <w:bCs w:val="0"/>
          <w:color w:val="auto"/>
          <w:sz w:val="28"/>
          <w:szCs w:val="28"/>
          <w:highlight w:val="none"/>
          <w:lang w:val="en-US"/>
        </w:rPr>
        <w:t xml:space="preserve">OS</w:t>
      </w:r>
      <w:r>
        <w:rPr>
          <w:rFonts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2E0C4875">
      <w:pPr>
        <w:pStyle w:val="1067"/>
        <w:pBdr/>
        <w:spacing w:line="360" w:lineRule="auto"/>
        <w:ind w:firstLine="864"/>
        <w:jc w:val="both"/>
        <w:rPr>
          <w:highlight w:val="yellow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47F2BF7" w14:textId="77777777">
      <w:pPr>
        <w:pStyle w:val="1069"/>
        <w:suppressLineNumbers w:val="false"/>
        <w:pBdr/>
        <w:spacing w:after="0" w:before="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72" w:name="_Toc3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4.2 Расчёт стоимости внедрения</w:t>
      </w:r>
      <w:bookmarkEnd w:id="72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1FB6A92C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both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0F366F54" w14:textId="65BFD2D5">
      <w:pPr>
        <w:pStyle w:val="1067"/>
        <w:pBdr/>
        <w:spacing w:after="0" w:before="0" w:line="360" w:lineRule="auto"/>
        <w:ind w:firstLine="864"/>
        <w:jc w:val="both"/>
        <w:rPr>
          <w:highlight w:val="none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Стоимость оборудования и сводный расчёт затрат на внедрение системы мониторинга в рамках дипломного проекта представлен в таблицах 3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 и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highlight w:val="none"/>
        </w:rPr>
        <w:t xml:space="preserve">4.</w:t>
      </w:r>
      <w:r>
        <w:rPr>
          <w:highlight w:val="none"/>
        </w:rPr>
      </w:r>
      <w:r>
        <w:rPr>
          <w:highlight w:val="none"/>
        </w:rPr>
      </w:r>
    </w:p>
    <w:p w14:paraId="49DD7946" w14:textId="77777777">
      <w:pPr>
        <w:pStyle w:val="1067"/>
        <w:pBdr/>
        <w:spacing w:after="0" w:afterAutospacing="0" w:before="0" w:beforeAutospacing="0" w:line="360" w:lineRule="auto"/>
        <w:ind/>
        <w:jc w:val="right"/>
        <w:rPr/>
      </w:pPr>
      <w:r>
        <w:rPr>
          <w:rFonts w:eastAsia="Times New Roman" w:cs="Times New Roman"/>
          <w:i w:val="0"/>
          <w:iCs w:val="0"/>
          <w:sz w:val="28"/>
          <w:szCs w:val="28"/>
        </w:rPr>
        <w:t xml:space="preserve">Таблица 3 </w:t>
      </w:r>
      <w:r/>
    </w:p>
    <w:p w14:paraId="68B980D3" w14:textId="77777777">
      <w:pPr>
        <w:pStyle w:val="1067"/>
        <w:pBdr/>
        <w:spacing w:after="0" w:afterAutospacing="0" w:before="0" w:beforeAutospacing="0" w:line="360" w:lineRule="auto"/>
        <w:ind/>
        <w:jc w:val="center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Стоимость оборудования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tbl>
      <w:tblPr>
        <w:tblStyle w:val="1107"/>
        <w:jc w:val="center"/>
        <w:tblInd w:w="0" w:type="dxa"/>
        <w:tblW w:w="9465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6A0" w:firstRow="1" w:lastRow="0" w:firstColumn="1" w:lastColumn="0" w:noHBand="1" w:noVBand="1"/>
      </w:tblPr>
      <w:tblGrid>
        <w:gridCol w:w="554"/>
        <w:gridCol w:w="1816"/>
        <w:gridCol w:w="1633"/>
        <w:gridCol w:w="1337"/>
        <w:gridCol w:w="1878"/>
        <w:gridCol w:w="792"/>
        <w:gridCol w:w="1454"/>
      </w:tblGrid>
      <w:tr>
        <w:trPr>
          <w:trHeight w:val="300"/>
        </w:trPr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554" w:type="dxa"/>
            <w:vAlign w:val="center"/>
          </w:tcPr>
          <w:p w14:paraId="27C493C2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№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816" w:type="dxa"/>
            <w:vAlign w:val="center"/>
          </w:tcPr>
          <w:p w14:paraId="1B48DC75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Наименование узла</w:t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633" w:type="dxa"/>
            <w:vAlign w:val="center"/>
          </w:tcPr>
          <w:p w14:paraId="6F9F3509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Назначение</w:t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337" w:type="dxa"/>
            <w:vAlign w:val="center"/>
          </w:tcPr>
          <w:p w14:paraId="3C54C72B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Операционная система</w:t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878" w:type="dxa"/>
            <w:vAlign w:val="center"/>
          </w:tcPr>
          <w:p w14:paraId="6185B2E0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Технические характеристики</w:t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792" w:type="dxa"/>
            <w:vAlign w:val="center"/>
          </w:tcPr>
          <w:p w14:paraId="4F18EDEB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Количество</w:t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454" w:type="dxa"/>
            <w:vAlign w:val="center"/>
          </w:tcPr>
          <w:p w14:paraId="0AEA12B3" w14:textId="77777777">
            <w:pPr>
              <w:pBdr/>
              <w:shd w:val="nil" w:color="auto"/>
              <w:spacing/>
              <w:ind/>
              <w:jc w:val="center"/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pPr>
            <w:r>
              <w:rPr>
                <w:b/>
                <w:bCs/>
                <w:sz w:val="22"/>
                <w:szCs w:val="22"/>
                <w:highlight w:val="none"/>
              </w:rPr>
              <w:t xml:space="preserve">Примерная стоимость, ₽</w:t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  <w:r>
              <w:rPr>
                <w:b/>
                <w:bCs/>
                <w:sz w:val="22"/>
                <w:szCs w:val="22"/>
                <w:highlight w:val="none"/>
                <w:shd w:val="clear" w:color="auto" w:fill="ffffff"/>
                <w14:ligatures w14:val="none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554" w:type="dxa"/>
            <w:vAlign w:val="center"/>
          </w:tcPr>
          <w:p w14:paraId="56B20A0C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816" w:type="dxa"/>
            <w:vAlign w:val="center"/>
          </w:tcPr>
          <w:p w14:paraId="50BC99BF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srv-zabbix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633" w:type="dxa"/>
            <w:vAlign w:val="center"/>
          </w:tcPr>
          <w:p w14:paraId="2D41B7E5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Сервер мониторинга Zabbix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337" w:type="dxa"/>
            <w:vAlign w:val="center"/>
          </w:tcPr>
          <w:p w14:paraId="538B9C47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Альт Сервер 10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878" w:type="dxa"/>
            <w:vAlign w:val="center"/>
          </w:tcPr>
          <w:p w14:paraId="421ABF93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 vCPU, 4 ГБ ОЗУ, HDD 100 ГБ, IP: 192.168.100.1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792" w:type="dxa"/>
            <w:vAlign w:val="center"/>
          </w:tcPr>
          <w:p w14:paraId="249FAAB8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themeColor="text2" w:sz="12" w:space="0"/>
              <w:left w:val="single" w:color="000000" w:themeColor="text2" w:sz="12" w:space="0"/>
              <w:bottom w:val="single" w:color="000000" w:themeColor="text2" w:sz="12" w:space="0"/>
              <w:right w:val="single" w:color="000000" w:themeColor="text2" w:sz="12" w:space="0"/>
            </w:tcBorders>
            <w:tcW w:w="1454" w:type="dxa"/>
            <w:vAlign w:val="center"/>
          </w:tcPr>
          <w:p w14:paraId="1129AE4B" w14:textId="77777777">
            <w:pPr>
              <w:pStyle w:val="1067"/>
              <w:pBdr/>
              <w:spacing w:after="0" w:afterAutospacing="0" w:before="0" w:beforeAutospacing="0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30 000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 w14:paraId="3FE9F23F" w14:textId="77777777">
      <w:pPr>
        <w:pStyle w:val="1067"/>
        <w:pBdr/>
        <w:spacing w:after="0" w:before="0"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</w:p>
    <w:p w14:paraId="542D1D9D" w14:textId="77777777">
      <w:pPr>
        <w:pStyle w:val="1067"/>
        <w:pBdr/>
        <w:spacing w:after="0" w:afterAutospacing="0" w:before="0" w:beforeAutospacing="0" w:line="360" w:lineRule="auto"/>
        <w:ind/>
        <w:jc w:val="right"/>
        <w:rPr/>
      </w:pPr>
      <w:r>
        <w:rPr>
          <w:rFonts w:eastAsia="Times New Roman" w:cs="Times New Roman"/>
          <w:i w:val="0"/>
          <w:iCs w:val="0"/>
          <w:sz w:val="28"/>
          <w:szCs w:val="28"/>
        </w:rPr>
        <w:t xml:space="preserve">Таблица 4 </w:t>
      </w:r>
      <w:r/>
    </w:p>
    <w:p w14:paraId="7640F168" w14:textId="77777777">
      <w:pPr>
        <w:pStyle w:val="1067"/>
        <w:pBdr/>
        <w:spacing w:after="0" w:afterAutospacing="0" w:before="0" w:beforeAutospacing="0" w:line="360" w:lineRule="auto"/>
        <w:ind/>
        <w:jc w:val="center"/>
        <w:rPr>
          <w:rFonts w:eastAsia="Times New Roman" w:cs="Times New Roman"/>
          <w:i w:val="0"/>
          <w:iCs w:val="0"/>
          <w:sz w:val="28"/>
          <w:szCs w:val="28"/>
        </w:rPr>
      </w:pPr>
      <w:r>
        <w:rPr>
          <w:rFonts w:eastAsia="Times New Roman" w:cs="Times New Roman"/>
          <w:i w:val="0"/>
          <w:iCs w:val="0"/>
          <w:sz w:val="28"/>
          <w:szCs w:val="28"/>
        </w:rPr>
        <w:t xml:space="preserve">Расчёт затрат на внедрение системы мониторинга</w:t>
      </w:r>
      <w:r>
        <w:rPr>
          <w:rFonts w:eastAsia="Times New Roman" w:cs="Times New Roman"/>
          <w:i w:val="0"/>
          <w:iCs w:val="0"/>
          <w:sz w:val="28"/>
          <w:szCs w:val="28"/>
        </w:rPr>
      </w:r>
      <w:r>
        <w:rPr>
          <w:rFonts w:eastAsia="Times New Roman" w:cs="Times New Roman"/>
          <w:i w:val="0"/>
          <w:iCs w:val="0"/>
          <w:sz w:val="28"/>
          <w:szCs w:val="28"/>
        </w:rPr>
      </w:r>
    </w:p>
    <w:tbl>
      <w:tblPr>
        <w:tblInd w:w="0" w:type="dxa"/>
        <w:tblW w:w="9355" w:type="dxa"/>
        <w:tblCellMar>
          <w:left w:w="120" w:type="dxa"/>
          <w:top w:w="80" w:type="dxa"/>
          <w:right w:w="12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597"/>
        <w:gridCol w:w="4258"/>
        <w:gridCol w:w="1497"/>
        <w:gridCol w:w="1503"/>
        <w:gridCol w:w="1500"/>
      </w:tblGrid>
      <w:tr>
        <w:trPr>
          <w:tblHeader/>
        </w:trPr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1C66B0F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№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5ACEA8F8" w14:textId="77777777">
            <w:pPr>
              <w:pStyle w:val="1067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Статья затрат</w:t>
            </w: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030E82DE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Стоимость, руб.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5A843AD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Часы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712EF402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Итого, руб.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19F14E3C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  <w:highlight w:val="none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  <w:t xml:space="preserve">1</w:t>
            </w:r>
            <w:r>
              <w:rPr>
                <w:color w:val="auto"/>
                <w:highlight w:val="none"/>
              </w:rPr>
            </w:r>
            <w:r>
              <w:rPr>
                <w:color w:val="auto"/>
                <w:highlight w:val="none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0F7B84D6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  <w:highlight w:val="none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  <w:t xml:space="preserve">ОС Альт Сервер 10</w:t>
            </w:r>
            <w:r>
              <w:rPr>
                <w:color w:val="auto"/>
                <w:highlight w:val="none"/>
              </w:rPr>
            </w:r>
            <w:r>
              <w:rPr>
                <w:color w:val="auto"/>
                <w:highlight w:val="none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4B584315" w14:textId="77777777">
            <w:pPr>
              <w:pStyle w:val="1067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</w:r>
            <w:r>
              <w:rPr>
                <w:rFonts w:eastAsia="Times New Roman" w:cs="Times New Roman"/>
                <w:b w:val="0"/>
                <w:bCs w:val="0"/>
                <w:i w:val="0"/>
                <w:iCs w:val="0"/>
                <w:sz w:val="22"/>
                <w:szCs w:val="22"/>
                <w:highlight w:val="none"/>
              </w:rPr>
              <w:t xml:space="preserve">5200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2D366E0F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  <w:highlight w:val="none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  <w:t xml:space="preserve">—</w:t>
            </w:r>
            <w:r>
              <w:rPr>
                <w:color w:val="auto"/>
                <w:highlight w:val="none"/>
              </w:rPr>
            </w:r>
            <w:r>
              <w:rPr>
                <w:color w:val="auto"/>
                <w:highlight w:val="none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2322F001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  <w:highlight w:val="none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  <w:highlight w:val="none"/>
              </w:rPr>
              <w:t xml:space="preserve">0</w:t>
            </w:r>
            <w:r>
              <w:rPr>
                <w:color w:val="auto"/>
                <w:highlight w:val="none"/>
              </w:rPr>
            </w:r>
            <w:r>
              <w:rPr>
                <w:color w:val="auto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7144751B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71AAC69C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СУБД PostgreSQL 14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7B7EFE02" w14:textId="77777777">
            <w:pPr>
              <w:pStyle w:val="1067"/>
              <w:pBdr/>
              <w:spacing w:line="240" w:lineRule="auto"/>
              <w:ind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1230D8BB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33113584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0B778152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55EA4C0A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Веб-сервер Apache2 + PHP 8.1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5531F93F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2170B065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0213FF8E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2598DEE6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12A28385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Zabbix Server 6.4 (GPL)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370D6AA5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63E8E420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05F7728E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78941E47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5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4EB3B74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Zabbix Agent (GPL)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3D22F59A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47B92CD1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56C6262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29B4EA11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6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193A2B74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установка ОС и базовая настройка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3D06F01B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7A036E3D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6D59599C" w14:textId="77777777">
            <w:pPr>
              <w:pStyle w:val="1067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4500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75697EEC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7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14DAE7D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установка и настройка СУБД, импорт схемы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559136A0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78E884CA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2A29CAB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3000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44B0A208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8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B0C8624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установка и настройка Zabbix Server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4A2DD6E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68D9363B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07AAD18C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4500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2B2B7304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9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50E908E8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установка агентов на контролируемые узлы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18181B36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7842F596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4CB11FA4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3000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5D369756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F19B0E2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настройка SNMP-мониторинга сетевого оборудования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407AA873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57AB7477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04F0D071" w14:textId="77777777">
            <w:pPr>
              <w:pStyle w:val="1067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4500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4737E36C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11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4AB66D5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настройка триггеров, оповещений, дашбордов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39A5A8A5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279935FF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70068ADB" w14:textId="77777777">
            <w:pPr>
              <w:pStyle w:val="1067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center"/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6000</w:t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4B73E586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12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0E9E0233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Работа специалиста: тестирование, оформление документации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2C0D9A18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1500 / час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297C039E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3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691C2121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4500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>
          <w:trHeight w:val="467"/>
        </w:trPr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597" w:type="dxa"/>
          </w:tcPr>
          <w:p w14:paraId="1F72F646" w14:textId="77777777">
            <w:pPr>
              <w:pStyle w:val="1067"/>
              <w:pBdr/>
              <w:spacing w:line="240" w:lineRule="auto"/>
              <w:ind/>
              <w:jc w:val="left"/>
              <w:rPr>
                <w:color w:val="auto"/>
                <w:sz w:val="22"/>
                <w:szCs w:val="22"/>
              </w:rPr>
            </w:pPr>
            <w:r>
              <w:rPr>
                <w:color w:val="auto"/>
                <w:sz w:val="22"/>
                <w:szCs w:val="22"/>
              </w:rPr>
            </w:r>
            <w:r>
              <w:rPr>
                <w:color w:val="auto"/>
                <w:sz w:val="22"/>
                <w:szCs w:val="22"/>
              </w:rPr>
            </w:r>
            <w:r>
              <w:rPr>
                <w:color w:val="auto"/>
                <w:sz w:val="22"/>
                <w:szCs w:val="22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4258" w:type="dxa"/>
          </w:tcPr>
          <w:p w14:paraId="65C3946C" w14:textId="77777777">
            <w:pPr>
              <w:pStyle w:val="1067"/>
              <w:pBdr/>
              <w:spacing w:line="240" w:lineRule="auto"/>
              <w:ind/>
              <w:jc w:val="right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ИТОГО (стоимость вместе с оборудованием)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497" w:type="dxa"/>
          </w:tcPr>
          <w:p w14:paraId="550852A8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rFonts w:eastAsia="Times New Roman" w:cs="Times New Roman"/>
                <w:b/>
                <w:bCs/>
                <w:color w:val="auto"/>
                <w:sz w:val="22"/>
                <w:szCs w:val="22"/>
              </w:rPr>
              <w:t xml:space="preserve">—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3" w:type="dxa"/>
          </w:tcPr>
          <w:p w14:paraId="08CE6F91" w14:textId="77777777">
            <w:pPr>
              <w:pStyle w:val="1067"/>
              <w:pBdr/>
              <w:spacing w:line="240" w:lineRule="auto"/>
              <w:ind/>
              <w:jc w:val="center"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d9d9" w:themeFill="background2" w:themeFillShade="D9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W w:w="1500" w:type="dxa"/>
          </w:tcPr>
          <w:p w14:paraId="37E0DB31" w14:textId="77777777">
            <w:pPr>
              <w:pStyle w:val="1067"/>
              <w:pBdr/>
              <w:spacing/>
              <w:ind/>
              <w:rPr/>
            </w:pPr>
            <w:r>
              <w:t xml:space="preserve">6</w:t>
            </w:r>
            <w:r>
              <w:rPr>
                <w:lang w:val="en-US"/>
              </w:rPr>
              <w:t xml:space="preserve">5</w:t>
            </w:r>
            <w:r>
              <w:rPr>
                <w:lang w:val="en-US"/>
              </w:rPr>
              <w:t xml:space="preserve">2</w:t>
            </w:r>
            <w:r>
              <w:t xml:space="preserve">00</w:t>
            </w:r>
            <w:r/>
          </w:p>
        </w:tc>
      </w:tr>
    </w:tbl>
    <w:p w14:paraId="61CDCEAD" w14:textId="77777777">
      <w:pPr>
        <w:pStyle w:val="1067"/>
        <w:pBdr/>
        <w:spacing w:after="0" w:afterAutospacing="0" w:before="0" w:beforeAutospacing="0" w:line="360" w:lineRule="auto"/>
        <w:ind/>
        <w:jc w:val="right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6BB9E253" w14:textId="77777777">
      <w:pPr>
        <w:pStyle w:val="1067"/>
        <w:pBdr/>
        <w:spacing w:after="0" w:before="0" w:line="360" w:lineRule="auto"/>
        <w:ind w:firstLine="864" w:left="0"/>
        <w:jc w:val="left"/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pPr>
      <w:r>
        <w:rPr>
          <w:rFonts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</w:p>
    <w:p w14:paraId="71D6639C" w14:textId="77777777">
      <w:pPr>
        <w:pStyle w:val="1067"/>
        <w:pBdr/>
        <w:spacing w:after="0" w:before="0" w:line="360" w:lineRule="auto"/>
        <w:ind w:firstLine="864" w:left="0"/>
        <w:jc w:val="both"/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highlight w:val="none"/>
          <w:u w:val="none"/>
          <w:lang w:val="ru-RU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Из приведённого расчёта следует, что общая стоимость внедрения системы мониторинга на тестовую инфраструктуру составила 6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5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2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00 рублей. Эта сумма скл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адывается полностью из затрат на оплату труда специалиста, поскольку всё используемое программное обеспечение является бесплатным, кроме Альт Сервер 10, если нужно приобрести для компании. Альт Сервер (базовая версия): Подписка на 1 год обойдется примерно </w:t>
      </w:r>
      <w:bookmarkStart w:id="37" w:name="_Int_MujA9stW"/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5200–6500 р</w:t>
      </w:r>
      <w:bookmarkEnd w:id="37"/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ублей. Бессрочные лицензии стоят дороже и зависят от платформы. </w:t>
      </w:r>
      <w:r>
        <w:rPr>
          <w:rFonts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  <w:t xml:space="preserve">Альт Сервер Виртуализации: Специализированная редакция для развертывания виртуальных сред (включает встроенный инструментарий управления). Стоимость лицензий составляет от 15000 до 30000 рублей (в зависимости от поставщика).</w:t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r>
    </w:p>
    <w:p w14:paraId="1EB4F413">
      <w:pPr>
        <w:pStyle w:val="1067"/>
        <w:pBdr/>
        <w:spacing w:after="0" w:before="0" w:line="360" w:lineRule="auto"/>
        <w:ind w:firstLine="0" w:left="0"/>
        <w:jc w:val="both"/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u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highlight w:val="none"/>
          <w:u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trike w:val="0"/>
          <w:color w:val="auto"/>
          <w:sz w:val="28"/>
          <w:szCs w:val="28"/>
          <w:highlight w:val="none"/>
          <w:u w:val="none"/>
          <w:lang w:val="ru-RU"/>
        </w:rPr>
      </w:r>
    </w:p>
    <w:p w14:paraId="44A3A580" w14:textId="77777777">
      <w:pPr>
        <w:pStyle w:val="1069"/>
        <w:suppressLineNumbers w:val="false"/>
        <w:pBdr/>
        <w:spacing w:after="0" w:before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pPr>
      <w:r/>
      <w:bookmarkStart w:id="73" w:name="_Toc36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4.3 Оценка экономической эффективности</w:t>
      </w:r>
      <w:bookmarkEnd w:id="73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5A75ADE7">
      <w:pPr>
        <w:pStyle w:val="1069"/>
        <w:suppressLineNumbers w:val="false"/>
        <w:pBdr/>
        <w:spacing w:after="0" w:afterLines="0" w:before="0" w:beforeLines="0" w:line="360" w:lineRule="auto"/>
        <w:ind w:firstLine="864"/>
        <w:jc w:val="left"/>
        <w:outlineLvl w:val="1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highlight w:val="none"/>
        </w:rPr>
      </w:r>
    </w:p>
    <w:p w14:paraId="0DB3F8CA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оценки экономической эффективности проекта рассмотрим типовой сценарий: средний простой одного сервера на предприятии без системы мониторинга составляет 2–4 часа на инцидент за счёт времени, необходимого для самостоятельного обнаружен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ия проблемы пользователями, обращения в IT-службу, диагностики и устранения. При наличии системы мониторинга, оперативно отправляющей уведомления, время реакции сокращается до 5–15 минут, а время устранения — за счёт более точной первичной диагностики на о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сновани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 метрик.</w:t>
      </w:r>
      <w:r/>
    </w:p>
    <w:p w14:paraId="654A5323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Если принять, что средняя стоимость одного часа простоя для небольшой организации достаточно велика (длительность сотрудник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ов, отложенные операции, репутационные риски), то даже один предотвращённый инцидент в год полностью окупает затраты на внедрение системы мониторинга. При типовой частоте инцидентов от 2 до 6 в год экономический эффект от внедрения становится существенным.</w:t>
      </w:r>
      <w:r>
        <w:rPr>
          <w:color w:val="auto"/>
        </w:rPr>
      </w:r>
      <w:r>
        <w:rPr>
          <w:color w:val="auto"/>
        </w:rPr>
      </w:r>
    </w:p>
    <w:p w14:paraId="653765B8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Дополнительный, не денежный эффект внедрения системы мониторинга — переход IT-подразделения от реактивной модели работы (устранение уже случившихся проблем) к про активной (предотвращение инцидентов на основании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трендов метрик), повышение прозрачности работы IT, рост удовлетворённости пользователей качеством сервиса. Указанные эффекты сложно выразить в денежном эквиваленте, однако они представляют значительную ценность для организации в долгосрочной перспективе. </w:t>
      </w:r>
      <w:r/>
    </w:p>
    <w:p w14:paraId="23DE523C" w14:textId="77777777">
      <w:pPr>
        <w:pStyle w:val="1067"/>
        <w:pBdr/>
        <w:spacing/>
        <w:ind/>
        <w:rPr/>
      </w:pPr>
      <w:r>
        <w:br w:type="page" w:clear="all"/>
      </w:r>
      <w:r/>
    </w:p>
    <w:p w14:paraId="52E56223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</w:r>
    </w:p>
    <w:p w14:paraId="07547A01" w14:textId="77777777">
      <w:pPr>
        <w:pStyle w:val="1067"/>
        <w:pBdr/>
        <w:spacing/>
        <w:ind/>
        <w:rPr/>
      </w:pPr>
      <w:r/>
      <w:r/>
    </w:p>
    <w:p w14:paraId="557536F4" w14:textId="77777777">
      <w:pPr>
        <w:pStyle w:val="1068"/>
        <w:suppressLineNumbers w:val="false"/>
        <w:pBdr/>
        <w:tabs>
          <w:tab w:val="left" w:leader="none" w:pos="5950"/>
        </w:tabs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74" w:name="_Toc37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ЗАКЛЮЧЕНИЕ</w:t>
      </w:r>
      <w:bookmarkEnd w:id="74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2CBADD35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рамках дипломной работы на те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му «Мониторинг локально-вычислительной сети» был выполнен комплекс работ, направленный на изучение, сравнительный анализ и практическую реализацию системы мониторинга ЛВС. Все поставленные во введении задачи были успешно решены, а цель работы — достигнута.</w:t>
      </w:r>
      <w:r/>
    </w:p>
    <w:p w14:paraId="076D5F07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первой главе рассмотрены теоретические основы организации и мониторинга локальной вычислительной сети: дано определение ЛВС, описаны её физические и логические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компоненты, проанализирована типичная архитектура современной корпоративной сети, рассмотрено программное обеспечение серверной и клиентской частей. Особое внимание уделено понятию системы мониторинга, её функциональным компонентам и методам сбора данных.</w:t>
      </w:r>
      <w:r/>
    </w:p>
    <w:p w14:paraId="2240D246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Во второй главе был проведён обзор современных программных решений для мониторинга ЛВС. Рассмотрены три категории систем: свободно распространяе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мые (Zabbix, Nagios/Icinga 2, Prometheus + Grafana, LibreNMS, Cacti), проприетарные корпоративные продукты (PRTG, SolarWinds NPM, Checkmk, Microsoft SCOM) и облачные SaaS-решения (Datadog, Auvik). Разработаны десять критериев объективной оценки систем мони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торинга, на основании которых построена сравнительная таблица. По результатам анализа в качестве оптимального решения для практической реализации выбрана платформа Zabbix — бесплатная, функционально насыщенная и хорошо локализованная для российского рынка.</w:t>
      </w:r>
      <w:r/>
    </w:p>
    <w:p w14:paraId="765233EB" w14:textId="77777777">
      <w:pPr>
        <w:pStyle w:val="1067"/>
        <w:pBdr/>
        <w:spacing w:after="0" w:before="0" w:line="360" w:lineRule="auto"/>
        <w:ind w:firstLine="864"/>
        <w:jc w:val="both"/>
        <w:rPr/>
      </w:pP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третьей главе описана практическая 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реализация системы мониторинга на тестовой инфраструктуре, имитирующей ЛВС небольшого предприятия. Подробно изложена последовательность действий: подготовка отечественной операционной системы Альт Сервер 10, установка и настройка СУБД PostgreSQL, развёртыв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ание веб-сервера Apache HTTP Server (httpd2) с интерпретатором PHP, установка сервера Zabbix 6.x и веб-интерфейса, подключение агентов к контролируемым узлам (Linux-серверу и Linux-рабочей станции), настройка SNMP-мониторинга сетевого оборудования (коммута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тора и маршрутизатора), конфигурирование триггеров и системы оповещений. Проведено комплексное тестирование работоспособности системы по пяти сценариям: контроль состояния агентов, имитация отказа узла с проверкой срабатывания триггера и доставки уведомлен</w:t>
      </w:r>
      <w:r>
        <w:rPr>
          <w:rFonts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ий, контроль производительности при стресс-тестировании, мониторинг сетевого оборудования по SNMP, проверка визуализации. Все сценарии тестирования отработали корректно — система функционирует в соответствии с требованиями.</w:t>
      </w:r>
      <w:r/>
    </w:p>
    <w:p w14:paraId="20F5656F" w14:textId="77777777">
      <w:pPr>
        <w:pStyle w:val="1067"/>
        <w:pBdr/>
        <w:spacing w:after="0" w:before="0" w:line="360" w:lineRule="auto"/>
        <w:ind w:firstLine="864"/>
        <w:jc w:val="both"/>
        <w:rPr>
          <w:color w:val="auto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В четвёртой главе выполнено экономическое обоснование проекта, а также сделан вывод, что при небольших затратах и времени можно сделать работающий сервер. </w:t>
      </w:r>
      <w:r>
        <w:rPr>
          <w:color w:val="auto"/>
        </w:rPr>
      </w:r>
      <w:r>
        <w:rPr>
          <w:color w:val="auto"/>
        </w:rPr>
      </w:r>
    </w:p>
    <w:p w14:paraId="62712F64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Практическая значимость работы заключается в том, что полученный опыт развёртывания, а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также подготовленные конфигурационные файлы и шаблоны могут быть непосредственно использованы при внедрении системы мониторинга в реальной организации малого или среднего масштаба. Перспективы дальнейшего развития проекта связаны с интеграцией системы мони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торинга со службой Service Desk, добавлением модулей анализа NetFlow-трафика, развёртыванием Zabbix-прокси для географически распределённых филиалов, а также внедрением средств машинного обучения для прогнозирования аномалий на основе исторических метрик. </w:t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043CB0F" w14:textId="77777777">
      <w:pPr>
        <w:pStyle w:val="1067"/>
        <w:pBdr/>
        <w:spacing/>
        <w:ind/>
        <w:rPr/>
      </w:pPr>
      <w:r>
        <w:br w:type="page" w:clear="all"/>
      </w:r>
      <w:r/>
    </w:p>
    <w:p w14:paraId="07459315" w14:textId="77777777">
      <w:pPr>
        <w:pStyle w:val="1067"/>
        <w:pBdr/>
        <w:spacing w:after="0" w:before="0" w:line="360" w:lineRule="auto"/>
        <w:ind w:firstLine="864"/>
        <w:jc w:val="both"/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p w14:paraId="58A50F17" w14:textId="77777777">
      <w:pPr>
        <w:pStyle w:val="1068"/>
        <w:suppressLineNumbers w:val="false"/>
        <w:pBdr/>
        <w:tabs>
          <w:tab w:val="left" w:leader="none" w:pos="8364"/>
        </w:tabs>
        <w:spacing w:after="0" w:afterAutospacing="0" w:before="0" w:beforeAutospacing="0" w:line="360" w:lineRule="auto"/>
        <w:ind/>
        <w:jc w:val="center"/>
        <w:outlineLvl w:val="0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/>
      <w:bookmarkStart w:id="75" w:name="_Toc38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СПИСОК ИСПОЛЬЗОВАННЫХ ИСТОЧНИКОВ</w:t>
      </w:r>
      <w:bookmarkEnd w:id="75"/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</w:p>
    <w:p w14:paraId="3CC50616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1. Олифер В. Г., Олифер Н. А. Компьютерные сети. Принципы, технологии, протоколы: учебник для вузов. – 6-е изд. – СПб: Питер, 2020. – 1008 с. – ISBN 978-5-4461-1426-9.</w:t>
      </w:r>
      <w:r/>
    </w:p>
    <w:p w14:paraId="510308E1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2. Таненбаум Э., Уэзеролл Д. Компьютерные сети : пер. с англ. – 5-е изд. – СПб. : Питер, 2019. – 960 с. – ISBN 978-5-459-00342-0.</w:t>
      </w:r>
      <w:r/>
    </w:p>
    <w:p w14:paraId="69BF95F9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3. Куроуз Дж., Росс К. Компьютерные сети. Нисходящий подход : пер. с англ. – 7-е изд. – М. : Эксмо, 2021. – 912 с. – ISBN 978-5-04-088472-8.</w:t>
      </w:r>
      <w:r/>
    </w:p>
    <w:p w14:paraId="5F104563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4. Кульгин М. В. Технологии корпоративных сетей : энциклопедия. – СПб: Питер, 2018. – 704 с.</w:t>
      </w:r>
      <w:r/>
    </w:p>
    <w:p w14:paraId="0C3EBA89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5. Поляк-Брагинский А. В. Локальная сеть. Самое необходимое. – 2-е изд., перераб. и доп. – СПб: БХВ-Петербург, 2019. – 576 с. – ISBN 978-5-9775-3961-2.</w:t>
      </w:r>
      <w:r/>
    </w:p>
    <w:p w14:paraId="702EF4EF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6. Назаров А. В., Мельников В. П., Куприянов А. И. Эксплуатация объектов сетевой инфраструктуры : учебник. – М. : Академия, 2019. – 368 с. – ISBN 978-5-4468-7635-2.</w:t>
      </w:r>
      <w:r/>
    </w:p>
    <w:p w14:paraId="5A4C34E4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7. Воробьев А. А., Дроздова Ю. А. Мониторинг информационных систем : учебное пособие. – М. : ИНФРА-М, 2021. – 256 с.</w:t>
      </w:r>
      <w:r/>
    </w:p>
    <w:p w14:paraId="7398E03E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8. Vladishev A. Zabbix 6 IT Infrastructure Monitoring Cookbook : Explore the new features of Zabbix 6 for designing, building, and maintaining your Zabbix setup. – 2nd ed. – Birmingham : Packt Publishing, 2022. – 482 p. – ISBN 978-1-80323-577-4.</w:t>
      </w:r>
      <w:r/>
    </w:p>
    <w:p w14:paraId="213A71F6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9. Дадан О. SNMP. Учебник по администрированию сетей : пер. с англ. – М. : ДМК Пресс, 2018. – 432 с.</w:t>
      </w:r>
      <w:r/>
    </w:p>
    <w:p w14:paraId="36BBA3AA" w14:textId="77777777">
      <w:pPr>
        <w:pStyle w:val="1067"/>
        <w:suppressLineNumbers w:val="false"/>
        <w:pBdr/>
        <w:bidi w:val="false"/>
        <w:spacing w:after="0" w:afterAutospacing="0" w:before="0" w:beforeAutospacing="0" w:line="360" w:lineRule="auto"/>
        <w:ind w:right="0" w:firstLine="720" w:left="0"/>
        <w:jc w:val="both"/>
        <w:rPr>
          <w:rFonts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10.Кристофер Негус, Линукс библия, 2022.– URL: https://ftp.zhirov.kz/books/IT/Unix/</w:t>
      </w:r>
      <w:r>
        <w:rPr>
          <w:rFonts w:eastAsia="Times New Roman" w:cs="Times New Roman"/>
          <w:color w:val="auto"/>
          <w:sz w:val="28"/>
          <w:szCs w:val="28"/>
        </w:rPr>
      </w:r>
      <w:r>
        <w:rPr>
          <w:rFonts w:eastAsia="Times New Roman" w:cs="Times New Roman"/>
          <w:color w:val="auto"/>
          <w:sz w:val="28"/>
          <w:szCs w:val="28"/>
        </w:rPr>
      </w:r>
    </w:p>
    <w:p w14:paraId="15DBF66C" w14:textId="77777777">
      <w:pPr>
        <w:pStyle w:val="1067"/>
        <w:suppressLineNumbers w:val="false"/>
        <w:pBdr/>
        <w:bidi w:val="false"/>
        <w:spacing w:after="0" w:afterAutospacing="0" w:before="0" w:beforeAutospacing="0" w:line="360" w:lineRule="auto"/>
        <w:ind w:right="0" w:firstLine="720" w:left="0"/>
        <w:jc w:val="both"/>
        <w:rPr>
          <w:rFonts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  <w:t xml:space="preserve">11. Официальная документация ALT Linux. – URL: https://www.altlinux.org/</w:t>
      </w:r>
      <w:r>
        <w:rPr>
          <w:rFonts w:eastAsia="Times New Roman" w:cs="Times New Roman"/>
          <w:color w:val="auto"/>
          <w:sz w:val="28"/>
          <w:szCs w:val="28"/>
        </w:rPr>
      </w:r>
      <w:r>
        <w:rPr>
          <w:rFonts w:eastAsia="Times New Roman" w:cs="Times New Roman"/>
          <w:color w:val="auto"/>
          <w:sz w:val="28"/>
          <w:szCs w:val="28"/>
        </w:rPr>
      </w:r>
    </w:p>
    <w:p w14:paraId="07EC38BB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12. Официальная документация Zabbix [Электронный ресурс]: руководство по версии 6.4. – Электрон. дан. – Zabbix LLC, 2024. – URL: https://www.zabbix.com/documentation/6.4/ru/manual (дата обращения: 10.05.2026).</w:t>
      </w:r>
      <w:r/>
    </w:p>
    <w:p w14:paraId="38320F97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13. PostgreSQL: The world's most advanced open source database [Электронный ресурс]: официальная документация. – Электрон. дан. – PostgreSQL Global Development Group, 2024. – URL: https://www.postgresql.org/docs/ (дата обращения: 12.05.2026).</w:t>
      </w:r>
      <w:r/>
    </w:p>
    <w:p w14:paraId="4D917717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14. Кузнецов А. С. Системы мониторинга сетевой инфраструктуры: обзор и сравнительный анализ // Информационные технологии. – 2023. – Т. 29, № 8. – С. 412–420.</w:t>
      </w:r>
      <w:r/>
    </w:p>
    <w:p w14:paraId="74F734E8" w14:textId="77777777">
      <w:pPr>
        <w:pStyle w:val="1067"/>
        <w:pBdr/>
        <w:spacing w:after="0" w:afterAutospacing="0" w:before="0" w:beforeAutospacing="0" w:line="360" w:lineRule="auto"/>
        <w:ind w:firstLine="720" w:left="0"/>
        <w:jc w:val="both"/>
        <w:rPr/>
      </w:pPr>
      <w:r>
        <w:rPr>
          <w:rFonts w:eastAsia="Times New Roman" w:cs="Times New Roman"/>
          <w:sz w:val="28"/>
          <w:szCs w:val="28"/>
        </w:rPr>
        <w:t xml:space="preserve">15. Документация Альт Сервер [Электронный ресурс]: руководство пользователя ALT Server 10. – Электрон. дан. – ООО «Базальт СПО», 2024. – URL: https://www.basealt.ru/alt-server/description (дата обращения: 13.05.2026).</w:t>
      </w:r>
      <w:r/>
    </w:p>
    <w:sectPr>
      <w:headerReference w:type="default" r:id="rId13"/>
      <w:headerReference w:type="first" r:id="rId14"/>
      <w:footerReference w:type="default" r:id="rId18"/>
      <w:footerReference w:type="first" r:id="rId19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50102010706020507"/>
  </w:font>
  <w:font w:name="LXGW WenKai">
    <w:panose1 w:val="05040102010807070707"/>
  </w:font>
  <w:font w:name="Droid Sans">
    <w:panose1 w:val="020B0706030804020204"/>
  </w:font>
  <w:font w:name="Wingdings">
    <w:panose1 w:val="05000000000000000000"/>
  </w:font>
  <w:font w:name="Liberation Sans">
    <w:panose1 w:val="020B0604020202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4D804A1" w14:textId="77777777">
    <w:pPr>
      <w:pStyle w:val="1100"/>
      <w:pBdr/>
      <w:spacing/>
      <w:ind/>
      <w:jc w:val="right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0</w:t>
    </w:r>
    <w:r>
      <w:fldChar w:fldCharType="end"/>
    </w:r>
    <w:r/>
  </w:p>
  <w:p w14:paraId="3B7B4B86" w14:textId="77777777">
    <w:pPr>
      <w:pStyle w:val="1067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63F29E8" w14:textId="77777777">
    <w:pPr>
      <w:pStyle w:val="1100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07"/>
      <w:tblInd w:w="0" w:type="dxa"/>
      <w:tblW w:w="9345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>
      <w:trPr>
        <w:trHeight w:val="300"/>
      </w:trPr>
      <w:tc>
        <w:tcPr>
          <w:tcBorders/>
          <w:tcW w:w="3115" w:type="dxa"/>
        </w:tcPr>
        <w:p w14:paraId="5630AD66" w14:textId="77777777">
          <w:pPr>
            <w:pStyle w:val="1099"/>
            <w:widowControl w:val="true"/>
            <w:pBdr/>
            <w:bidi w:val="false"/>
            <w:spacing w:after="0" w:before="0"/>
            <w:ind w:left="-115"/>
            <w:jc w:val="left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  <w:tc>
        <w:tcPr>
          <w:tcBorders/>
          <w:tcW w:w="3115" w:type="dxa"/>
        </w:tcPr>
        <w:p w14:paraId="61829076" w14:textId="77777777">
          <w:pPr>
            <w:pStyle w:val="1099"/>
            <w:widowControl w:val="true"/>
            <w:pBdr/>
            <w:bidi w:val="false"/>
            <w:spacing w:after="0" w:before="0"/>
            <w:ind/>
            <w:jc w:val="center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  <w:tc>
        <w:tcPr>
          <w:tcBorders/>
          <w:tcW w:w="3115" w:type="dxa"/>
        </w:tcPr>
        <w:p w14:paraId="2BA226A1" w14:textId="77777777">
          <w:pPr>
            <w:pStyle w:val="1099"/>
            <w:widowControl w:val="true"/>
            <w:pBdr/>
            <w:bidi w:val="false"/>
            <w:spacing w:after="0" w:before="0"/>
            <w:ind w:right="-115"/>
            <w:jc w:val="right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</w:tr>
  </w:tbl>
  <w:p w14:paraId="17AD93B2" w14:textId="77777777">
    <w:pPr>
      <w:pStyle w:val="1100"/>
      <w:pBdr/>
      <w:bidi w:val="false"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18709F" w14:textId="77777777">
    <w:pPr>
      <w:pStyle w:val="1100"/>
      <w:pBdr/>
      <w:spacing/>
      <w:ind/>
      <w:jc w:val="right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47</w:t>
    </w:r>
    <w:r>
      <w:fldChar w:fldCharType="end"/>
    </w:r>
    <w:r/>
  </w:p>
  <w:p w14:paraId="2DBF0D7D" w14:textId="77777777">
    <w:pPr>
      <w:pStyle w:val="1067"/>
      <w:pBdr/>
      <w:spacing/>
      <w:ind/>
      <w:jc w:val="center"/>
      <w:rPr>
        <w:rFonts w:ascii="Times New Roman" w:hAnsi="Times New Roman" w:eastAsia="Times New Roman" w:cs="Times New Roman"/>
        <w:sz w:val="28"/>
        <w:szCs w:val="28"/>
      </w:rPr>
    </w:pPr>
    <w:r>
      <w:rPr>
        <w:rFonts w:eastAsia="Times New Roman" w:cs="Times New Roman"/>
        <w:sz w:val="28"/>
        <w:szCs w:val="28"/>
      </w:rPr>
    </w:r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eastAsia="Times New Roman" w:cs="Times New Roman"/>
        <w:sz w:val="28"/>
        <w:szCs w:val="28"/>
      </w:rPr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B62F1B3" w14:textId="777777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DFB9E20" w14:textId="77777777">
    <w:pPr>
      <w:pStyle w:val="1067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537F28F" w14:textId="77777777">
    <w:pPr>
      <w:pStyle w:val="1099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07"/>
      <w:tblInd w:w="0" w:type="dxa"/>
      <w:tblW w:w="9345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>
      <w:trPr>
        <w:trHeight w:val="300"/>
      </w:trPr>
      <w:tc>
        <w:tcPr>
          <w:tcBorders/>
          <w:tcW w:w="3115" w:type="dxa"/>
        </w:tcPr>
        <w:p w14:paraId="44E871BC" w14:textId="77777777">
          <w:pPr>
            <w:pStyle w:val="1099"/>
            <w:widowControl w:val="true"/>
            <w:pBdr/>
            <w:bidi w:val="false"/>
            <w:spacing w:after="0" w:before="0"/>
            <w:ind w:left="-115"/>
            <w:jc w:val="left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  <w:tc>
        <w:tcPr>
          <w:tcBorders/>
          <w:tcW w:w="3115" w:type="dxa"/>
        </w:tcPr>
        <w:p w14:paraId="144A5D23" w14:textId="77777777">
          <w:pPr>
            <w:pStyle w:val="1099"/>
            <w:widowControl w:val="true"/>
            <w:pBdr/>
            <w:bidi w:val="false"/>
            <w:spacing w:after="0" w:before="0"/>
            <w:ind/>
            <w:jc w:val="center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  <w:tc>
        <w:tcPr>
          <w:tcBorders/>
          <w:tcW w:w="3115" w:type="dxa"/>
        </w:tcPr>
        <w:p w14:paraId="738610EB" w14:textId="77777777">
          <w:pPr>
            <w:pStyle w:val="1099"/>
            <w:widowControl w:val="true"/>
            <w:pBdr/>
            <w:bidi w:val="false"/>
            <w:spacing w:after="0" w:before="0"/>
            <w:ind w:right="-115"/>
            <w:jc w:val="right"/>
            <w:rPr>
              <w:rFonts w:ascii="Times New Roman" w:hAnsi="Times New Roman" w:eastAsia="Times New Roman" w:cs="Times New Roman"/>
              <w:sz w:val="28"/>
              <w:szCs w:val="28"/>
            </w:rPr>
          </w:pPr>
          <w:r>
            <w:rPr>
              <w:rFonts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p>
      </w:tc>
    </w:tr>
  </w:tbl>
  <w:p w14:paraId="637805D2" w14:textId="77777777">
    <w:pPr>
      <w:pStyle w:val="1099"/>
      <w:pBdr/>
      <w:bidi w:val="false"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E4B5B7" w14:textId="77777777">
    <w:pPr>
      <w:pStyle w:val="1067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6204FF1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37CFDF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nsid w:val="1157BA1E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nsid w:val="2EA19EF1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-RU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01">
    <w:name w:val="Table Grid Light"/>
    <w:basedOn w:val="11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Plain Table 1"/>
    <w:basedOn w:val="11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Plain Table 2"/>
    <w:basedOn w:val="11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Plain Table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Plain Table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Plain Table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1 Light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1 Light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1 Light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1 Light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1 Light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1 Light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1 Light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2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2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2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2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2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2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3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3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3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3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3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3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4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4 - Accent 1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4 - Accent 2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4 - Accent 3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4 - Accent 4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4 - Accent 5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4 - Accent 6"/>
    <w:basedOn w:val="11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5 Dark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5 Dark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5 Dark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5 Dark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5 Dark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5 Dark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5 Dark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6 Colorful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6 Colorful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6 Colorful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6 Colorful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6 Colorful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7 Colorful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7 Colorful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7 Colorful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7 Colorful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7 Colorful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7 Colorful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7 Colorful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1 Light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1 Light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1 Light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1 Light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1 Light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1 Light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1 Light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2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2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2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2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2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2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3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3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3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3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3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3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4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4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4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4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4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4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5 Dark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5 Dark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5 Dark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5 Dark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5 Dark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5 Dark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5 Dark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6 Colorful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6 Colorful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6 Colorful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6 Colorful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6 Colorful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6 Colorful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6 Colorful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7 Colorful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7 Colorful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7 Colorful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7 Colorful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7 Colorful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7 Colorful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7 Colorful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ned - Accent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ned - Accent 1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ned - Accent 2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ned - Accent 3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ned - Accent 4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ned - Accent 5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ned - Accent 6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&amp; Lined - Accent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&amp; Lined - Accent 1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&amp; Lined - Accent 2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&amp; Lined - Accent 3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&amp; Lined - Accent 4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&amp; Lined - Accent 5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&amp; Lined - Accent 6"/>
    <w:basedOn w:val="11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- Accent 1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- Accent 2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- Accent 3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Bordered - Accent 4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Bordered - Accent 5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Bordered - Accent 6"/>
    <w:basedOn w:val="11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6">
    <w:name w:val="Heading 7"/>
    <w:basedOn w:val="1067"/>
    <w:next w:val="1067"/>
    <w:link w:val="103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27">
    <w:name w:val="Heading 8"/>
    <w:basedOn w:val="1067"/>
    <w:next w:val="1067"/>
    <w:link w:val="103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8">
    <w:name w:val="Heading 9"/>
    <w:basedOn w:val="1067"/>
    <w:next w:val="1067"/>
    <w:link w:val="103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9" w:default="1">
    <w:name w:val="Default Paragraph Font"/>
    <w:uiPriority w:val="1"/>
    <w:semiHidden/>
    <w:unhideWhenUsed/>
    <w:pPr>
      <w:pBdr/>
      <w:spacing/>
      <w:ind/>
    </w:pPr>
  </w:style>
  <w:style w:type="numbering" w:styleId="1030" w:default="1">
    <w:name w:val="No List"/>
    <w:uiPriority w:val="99"/>
    <w:semiHidden/>
    <w:unhideWhenUsed/>
    <w:pPr>
      <w:pBdr/>
      <w:spacing/>
      <w:ind/>
    </w:pPr>
  </w:style>
  <w:style w:type="character" w:styleId="1031">
    <w:name w:val="Heading 1 Char"/>
    <w:basedOn w:val="1029"/>
    <w:link w:val="10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32">
    <w:name w:val="Heading 2 Char"/>
    <w:basedOn w:val="1029"/>
    <w:link w:val="10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33">
    <w:name w:val="Heading 3 Char"/>
    <w:basedOn w:val="1029"/>
    <w:link w:val="10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34">
    <w:name w:val="Heading 4 Char"/>
    <w:basedOn w:val="1029"/>
    <w:link w:val="107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35">
    <w:name w:val="Heading 5 Char"/>
    <w:basedOn w:val="1029"/>
    <w:link w:val="10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36">
    <w:name w:val="Heading 6 Char"/>
    <w:basedOn w:val="1029"/>
    <w:link w:val="107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37">
    <w:name w:val="Heading 7 Char"/>
    <w:basedOn w:val="1029"/>
    <w:link w:val="102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38">
    <w:name w:val="Heading 8 Char"/>
    <w:basedOn w:val="1029"/>
    <w:link w:val="10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9">
    <w:name w:val="Heading 9 Char"/>
    <w:basedOn w:val="1029"/>
    <w:link w:val="10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40">
    <w:name w:val="Title Char"/>
    <w:basedOn w:val="1029"/>
    <w:link w:val="109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41">
    <w:name w:val="Subtitle"/>
    <w:basedOn w:val="1067"/>
    <w:next w:val="1067"/>
    <w:link w:val="104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42">
    <w:name w:val="Subtitle Char"/>
    <w:basedOn w:val="1029"/>
    <w:link w:val="104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43">
    <w:name w:val="Quote"/>
    <w:basedOn w:val="1067"/>
    <w:next w:val="1067"/>
    <w:link w:val="104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44">
    <w:name w:val="Quote Char"/>
    <w:basedOn w:val="1029"/>
    <w:link w:val="104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45">
    <w:name w:val="Intense Emphasis"/>
    <w:basedOn w:val="10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46">
    <w:name w:val="Intense Quote"/>
    <w:basedOn w:val="1067"/>
    <w:next w:val="1067"/>
    <w:link w:val="104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47">
    <w:name w:val="Intense Quote Char"/>
    <w:basedOn w:val="1029"/>
    <w:link w:val="104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48">
    <w:name w:val="Intense Reference"/>
    <w:basedOn w:val="10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49">
    <w:name w:val="No Spacing"/>
    <w:basedOn w:val="1067"/>
    <w:uiPriority w:val="1"/>
    <w:qFormat/>
    <w:pPr>
      <w:pBdr/>
      <w:spacing w:after="0" w:line="240" w:lineRule="auto"/>
      <w:ind/>
    </w:pPr>
  </w:style>
  <w:style w:type="character" w:styleId="1050">
    <w:name w:val="Subtle Emphasis"/>
    <w:basedOn w:val="10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51">
    <w:name w:val="Strong"/>
    <w:basedOn w:val="1029"/>
    <w:uiPriority w:val="22"/>
    <w:qFormat/>
    <w:pPr>
      <w:pBdr/>
      <w:spacing/>
      <w:ind/>
    </w:pPr>
    <w:rPr>
      <w:b/>
      <w:bCs/>
    </w:rPr>
  </w:style>
  <w:style w:type="character" w:styleId="1052">
    <w:name w:val="Subtle Reference"/>
    <w:basedOn w:val="10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53">
    <w:name w:val="Book Title"/>
    <w:basedOn w:val="10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54">
    <w:name w:val="Header Char"/>
    <w:basedOn w:val="1029"/>
    <w:link w:val="1099"/>
    <w:uiPriority w:val="99"/>
    <w:pPr>
      <w:pBdr/>
      <w:spacing/>
      <w:ind/>
    </w:pPr>
  </w:style>
  <w:style w:type="character" w:styleId="1055">
    <w:name w:val="Footer Char"/>
    <w:basedOn w:val="1029"/>
    <w:link w:val="1100"/>
    <w:uiPriority w:val="99"/>
    <w:pPr>
      <w:pBdr/>
      <w:spacing/>
      <w:ind/>
    </w:pPr>
  </w:style>
  <w:style w:type="character" w:styleId="1056">
    <w:name w:val="FollowedHyperlink"/>
    <w:basedOn w:val="10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57">
    <w:name w:val="toc 3"/>
    <w:basedOn w:val="1067"/>
    <w:next w:val="1067"/>
    <w:uiPriority w:val="39"/>
    <w:unhideWhenUsed/>
    <w:pPr>
      <w:pBdr/>
      <w:spacing w:after="100"/>
      <w:ind w:left="440"/>
    </w:pPr>
  </w:style>
  <w:style w:type="paragraph" w:styleId="1058">
    <w:name w:val="toc 4"/>
    <w:basedOn w:val="1067"/>
    <w:next w:val="1067"/>
    <w:uiPriority w:val="39"/>
    <w:unhideWhenUsed/>
    <w:pPr>
      <w:pBdr/>
      <w:spacing w:after="100"/>
      <w:ind w:left="660"/>
    </w:pPr>
  </w:style>
  <w:style w:type="paragraph" w:styleId="1059">
    <w:name w:val="toc 5"/>
    <w:basedOn w:val="1067"/>
    <w:next w:val="1067"/>
    <w:uiPriority w:val="39"/>
    <w:unhideWhenUsed/>
    <w:pPr>
      <w:pBdr/>
      <w:spacing w:after="100"/>
      <w:ind w:left="880"/>
    </w:pPr>
  </w:style>
  <w:style w:type="paragraph" w:styleId="1060">
    <w:name w:val="toc 6"/>
    <w:basedOn w:val="1067"/>
    <w:next w:val="1067"/>
    <w:uiPriority w:val="39"/>
    <w:unhideWhenUsed/>
    <w:pPr>
      <w:pBdr/>
      <w:spacing w:after="100"/>
      <w:ind w:left="1100"/>
    </w:pPr>
  </w:style>
  <w:style w:type="paragraph" w:styleId="1061">
    <w:name w:val="toc 7"/>
    <w:basedOn w:val="1067"/>
    <w:next w:val="1067"/>
    <w:uiPriority w:val="39"/>
    <w:unhideWhenUsed/>
    <w:pPr>
      <w:pBdr/>
      <w:spacing w:after="100"/>
      <w:ind w:left="1320"/>
    </w:pPr>
  </w:style>
  <w:style w:type="paragraph" w:styleId="1062">
    <w:name w:val="toc 8"/>
    <w:basedOn w:val="1067"/>
    <w:next w:val="1067"/>
    <w:uiPriority w:val="39"/>
    <w:unhideWhenUsed/>
    <w:pPr>
      <w:pBdr/>
      <w:spacing w:after="100"/>
      <w:ind w:left="1540"/>
    </w:pPr>
  </w:style>
  <w:style w:type="paragraph" w:styleId="1063">
    <w:name w:val="toc 9"/>
    <w:basedOn w:val="1067"/>
    <w:next w:val="1067"/>
    <w:uiPriority w:val="39"/>
    <w:unhideWhenUsed/>
    <w:pPr>
      <w:pBdr/>
      <w:spacing w:after="100"/>
      <w:ind w:left="1760"/>
    </w:pPr>
  </w:style>
  <w:style w:type="character" w:styleId="1064">
    <w:name w:val="Placeholder Text"/>
    <w:basedOn w:val="1029"/>
    <w:uiPriority w:val="99"/>
    <w:semiHidden/>
    <w:pPr>
      <w:pBdr/>
      <w:spacing/>
      <w:ind/>
    </w:pPr>
    <w:rPr>
      <w:color w:val="666666"/>
    </w:rPr>
  </w:style>
  <w:style w:type="paragraph" w:styleId="1065">
    <w:name w:val="TOC Heading"/>
    <w:uiPriority w:val="39"/>
    <w:unhideWhenUsed/>
    <w:pPr>
      <w:pBdr/>
      <w:spacing/>
      <w:ind/>
    </w:pPr>
  </w:style>
  <w:style w:type="paragraph" w:styleId="1066">
    <w:name w:val="table of figures"/>
    <w:basedOn w:val="1067"/>
    <w:next w:val="1067"/>
    <w:uiPriority w:val="99"/>
    <w:unhideWhenUsed/>
    <w:pPr>
      <w:pBdr/>
      <w:spacing w:after="0" w:afterAutospacing="0"/>
      <w:ind/>
    </w:pPr>
  </w:style>
  <w:style w:type="paragraph" w:styleId="1067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Times New Roman" w:cs="Times New Roman"/>
      <w:color w:val="auto"/>
      <w:sz w:val="28"/>
      <w:szCs w:val="28"/>
      <w:lang w:val="ru-RU" w:eastAsia="zh-CN" w:bidi="hi-IN"/>
    </w:rPr>
  </w:style>
  <w:style w:type="paragraph" w:styleId="1068">
    <w:name w:val="Heading 1"/>
    <w:basedOn w:val="1083"/>
    <w:qFormat/>
    <w:pPr>
      <w:pBdr/>
      <w:spacing/>
      <w:ind/>
    </w:pPr>
    <w:rPr>
      <w:color w:val="2e74b5"/>
      <w:sz w:val="32"/>
      <w:szCs w:val="32"/>
    </w:rPr>
  </w:style>
  <w:style w:type="paragraph" w:styleId="1069">
    <w:name w:val="Heading 2"/>
    <w:basedOn w:val="1083"/>
    <w:qFormat/>
    <w:pPr>
      <w:pBdr/>
      <w:spacing/>
      <w:ind/>
    </w:pPr>
    <w:rPr>
      <w:color w:val="2e74b5"/>
      <w:sz w:val="26"/>
      <w:szCs w:val="26"/>
    </w:rPr>
  </w:style>
  <w:style w:type="paragraph" w:styleId="1070">
    <w:name w:val="Heading 3"/>
    <w:basedOn w:val="1083"/>
    <w:qFormat/>
    <w:pPr>
      <w:pBdr/>
      <w:spacing/>
      <w:ind/>
    </w:pPr>
    <w:rPr>
      <w:color w:val="1f4d78"/>
      <w:sz w:val="24"/>
      <w:szCs w:val="24"/>
    </w:rPr>
  </w:style>
  <w:style w:type="paragraph" w:styleId="1071">
    <w:name w:val="Heading 4"/>
    <w:basedOn w:val="1083"/>
    <w:qFormat/>
    <w:pPr>
      <w:pBdr/>
      <w:spacing/>
      <w:ind/>
    </w:pPr>
    <w:rPr>
      <w:i/>
      <w:iCs/>
      <w:color w:val="2e74b5"/>
    </w:rPr>
  </w:style>
  <w:style w:type="paragraph" w:styleId="1072">
    <w:name w:val="Heading 5"/>
    <w:basedOn w:val="1083"/>
    <w:qFormat/>
    <w:pPr>
      <w:pBdr/>
      <w:spacing/>
      <w:ind/>
    </w:pPr>
    <w:rPr>
      <w:color w:val="2e74b5"/>
    </w:rPr>
  </w:style>
  <w:style w:type="paragraph" w:styleId="1073">
    <w:name w:val="Heading 6"/>
    <w:basedOn w:val="1083"/>
    <w:qFormat/>
    <w:pPr>
      <w:pBdr/>
      <w:spacing/>
      <w:ind/>
    </w:pPr>
    <w:rPr>
      <w:color w:val="1f4d78"/>
    </w:rPr>
  </w:style>
  <w:style w:type="character" w:styleId="107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75">
    <w:name w:val="Символ сноски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076">
    <w:name w:val="footnote reference"/>
    <w:pPr>
      <w:pBdr/>
      <w:spacing/>
      <w:ind/>
    </w:pPr>
    <w:rPr>
      <w:vertAlign w:val="superscript"/>
    </w:rPr>
  </w:style>
  <w:style w:type="character" w:styleId="1077">
    <w:name w:val="Footnote Text Char"/>
    <w:uiPriority w:val="99"/>
    <w:semiHidden/>
    <w:unhideWhenUsed/>
    <w:qFormat/>
    <w:pPr>
      <w:pBdr/>
      <w:spacing/>
      <w:ind/>
    </w:pPr>
    <w:rPr>
      <w:sz w:val="20"/>
      <w:szCs w:val="20"/>
    </w:rPr>
  </w:style>
  <w:style w:type="character" w:styleId="1078">
    <w:name w:val="Символ концевой сноски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079">
    <w:name w:val="endnote reference"/>
    <w:pPr>
      <w:pBdr/>
      <w:spacing/>
      <w:ind/>
    </w:pPr>
    <w:rPr>
      <w:vertAlign w:val="superscript"/>
    </w:rPr>
  </w:style>
  <w:style w:type="character" w:styleId="1080">
    <w:name w:val="Endnote Text Char"/>
    <w:uiPriority w:val="99"/>
    <w:semiHidden/>
    <w:unhideWhenUsed/>
    <w:qFormat/>
    <w:pPr>
      <w:pBdr/>
      <w:spacing/>
      <w:ind/>
    </w:pPr>
    <w:rPr>
      <w:sz w:val="20"/>
      <w:szCs w:val="20"/>
    </w:rPr>
  </w:style>
  <w:style w:type="character" w:styleId="1081">
    <w:name w:val="Ссылка указателя"/>
    <w:qFormat/>
    <w:pPr>
      <w:pBdr/>
      <w:spacing/>
      <w:ind/>
    </w:pPr>
  </w:style>
  <w:style w:type="character" w:styleId="1082">
    <w:name w:val="Emphasis"/>
    <w:qFormat/>
    <w:pPr>
      <w:pBdr/>
      <w:spacing/>
      <w:ind/>
    </w:pPr>
    <w:rPr>
      <w:i/>
      <w:iCs/>
    </w:rPr>
  </w:style>
  <w:style w:type="paragraph" w:styleId="1083">
    <w:name w:val="Заголовок"/>
    <w:basedOn w:val="1067"/>
    <w:next w:val="1084"/>
    <w:qFormat/>
    <w:pPr>
      <w:keepNext w:val="true"/>
      <w:pBdr/>
      <w:spacing w:after="120" w:before="240"/>
      <w:ind/>
    </w:pPr>
    <w:rPr>
      <w:rFonts w:ascii="Liberation Sans" w:hAnsi="Liberation Sans" w:eastAsia="LXGW WenKai" w:cs="Droid Sans"/>
      <w:sz w:val="28"/>
      <w:szCs w:val="28"/>
    </w:rPr>
  </w:style>
  <w:style w:type="paragraph" w:styleId="1084">
    <w:name w:val="Body Text"/>
    <w:basedOn w:val="1067"/>
    <w:pPr>
      <w:pBdr/>
      <w:spacing w:after="140" w:before="0" w:line="276" w:lineRule="auto"/>
      <w:ind/>
    </w:pPr>
  </w:style>
  <w:style w:type="paragraph" w:styleId="1085">
    <w:name w:val="List"/>
    <w:basedOn w:val="1084"/>
    <w:pPr>
      <w:pBdr/>
      <w:spacing/>
      <w:ind/>
    </w:pPr>
    <w:rPr>
      <w:rFonts w:cs="Droid Sans"/>
    </w:rPr>
  </w:style>
  <w:style w:type="paragraph" w:styleId="1086">
    <w:name w:val="Caption"/>
    <w:basedOn w:val="1067"/>
    <w:qFormat/>
    <w:pPr>
      <w:suppressLineNumbers w:val="true"/>
      <w:pBdr/>
      <w:spacing w:after="120" w:before="120"/>
      <w:ind/>
    </w:pPr>
    <w:rPr>
      <w:rFonts w:cs="Droid Sans"/>
      <w:i/>
      <w:iCs/>
      <w:sz w:val="24"/>
      <w:szCs w:val="24"/>
    </w:rPr>
  </w:style>
  <w:style w:type="paragraph" w:styleId="1087">
    <w:name w:val="Указатель"/>
    <w:basedOn w:val="1067"/>
    <w:qFormat/>
    <w:pPr>
      <w:suppressLineNumbers w:val="true"/>
      <w:pBdr/>
      <w:spacing/>
      <w:ind/>
    </w:pPr>
    <w:rPr>
      <w:rFonts w:cs="Droid Sans"/>
    </w:rPr>
  </w:style>
  <w:style w:type="paragraph" w:styleId="1088">
    <w:name w:val="Заголовок (user)"/>
    <w:basedOn w:val="1067"/>
    <w:next w:val="1084"/>
    <w:qFormat/>
    <w:pPr>
      <w:keepNext w:val="true"/>
      <w:pBdr/>
      <w:spacing w:after="120" w:before="240"/>
      <w:ind/>
    </w:pPr>
    <w:rPr>
      <w:rFonts w:ascii="Liberation Sans" w:hAnsi="Liberation Sans" w:eastAsia="LXGW WenKai" w:cs="Droid Sans"/>
      <w:sz w:val="28"/>
      <w:szCs w:val="28"/>
    </w:rPr>
  </w:style>
  <w:style w:type="paragraph" w:styleId="1089">
    <w:name w:val="Указатель (user)"/>
    <w:basedOn w:val="1067"/>
    <w:qFormat/>
    <w:pPr>
      <w:suppressLineNumbers w:val="true"/>
      <w:pBdr/>
      <w:spacing/>
      <w:ind/>
    </w:pPr>
    <w:rPr>
      <w:rFonts w:cs="Droid Sans"/>
    </w:rPr>
  </w:style>
  <w:style w:type="paragraph" w:styleId="1090">
    <w:name w:val="Title"/>
    <w:basedOn w:val="1083"/>
    <w:qFormat/>
    <w:pPr>
      <w:pBdr/>
      <w:spacing/>
      <w:ind/>
    </w:pPr>
    <w:rPr>
      <w:sz w:val="56"/>
      <w:szCs w:val="56"/>
    </w:rPr>
  </w:style>
  <w:style w:type="paragraph" w:styleId="1091">
    <w:name w:val="Strong Emphasis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Times New Roman" w:cs="Times New Roman"/>
      <w:b/>
      <w:bCs/>
      <w:color w:val="auto"/>
      <w:sz w:val="28"/>
      <w:szCs w:val="28"/>
      <w:lang w:val="ru-RU" w:eastAsia="zh-CN" w:bidi="hi-IN"/>
    </w:rPr>
  </w:style>
  <w:style w:type="paragraph" w:styleId="1092">
    <w:name w:val="List Paragraph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Times New Roman" w:cs="Times New Roman"/>
      <w:color w:val="auto"/>
      <w:sz w:val="28"/>
      <w:szCs w:val="28"/>
      <w:lang w:val="ru-RU" w:eastAsia="zh-CN" w:bidi="hi-IN"/>
    </w:rPr>
  </w:style>
  <w:style w:type="paragraph" w:styleId="1093">
    <w:name w:val="footnote text"/>
    <w:basedOn w:val="1067"/>
    <w:link w:val="107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1094">
    <w:name w:val="endnote text"/>
    <w:basedOn w:val="1067"/>
    <w:link w:val="1080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1095">
    <w:name w:val="heading 10"/>
    <w:qFormat/>
    <w:pPr>
      <w:widowControl w:val="true"/>
      <w:pBdr/>
      <w:bidi w:val="false"/>
      <w:spacing w:after="240" w:before="240" w:line="360" w:lineRule="auto"/>
      <w:ind/>
      <w:jc w:val="left"/>
      <w:outlineLvl w:val="0"/>
    </w:pPr>
    <w:rPr>
      <w:rFonts w:ascii="Times New Roman" w:hAnsi="Times New Roman" w:eastAsia="Times New Roman" w:cs="Times New Roman"/>
      <w:b/>
      <w:bCs/>
      <w:color w:val="auto"/>
      <w:sz w:val="28"/>
      <w:szCs w:val="28"/>
      <w:lang w:val="ru-RU" w:eastAsia="zh-CN" w:bidi="hi-IN"/>
    </w:rPr>
  </w:style>
  <w:style w:type="paragraph" w:styleId="1096">
    <w:name w:val="heading 20"/>
    <w:qFormat/>
    <w:pPr>
      <w:widowControl w:val="true"/>
      <w:pBdr/>
      <w:bidi w:val="false"/>
      <w:spacing w:after="120" w:before="240" w:line="360" w:lineRule="auto"/>
      <w:ind/>
      <w:jc w:val="left"/>
      <w:outlineLvl w:val="1"/>
    </w:pPr>
    <w:rPr>
      <w:rFonts w:ascii="Times New Roman" w:hAnsi="Times New Roman" w:eastAsia="Times New Roman" w:cs="Times New Roman"/>
      <w:b/>
      <w:bCs/>
      <w:color w:val="auto"/>
      <w:sz w:val="28"/>
      <w:szCs w:val="28"/>
      <w:lang w:val="ru-RU" w:eastAsia="zh-CN" w:bidi="hi-IN"/>
    </w:rPr>
  </w:style>
  <w:style w:type="paragraph" w:styleId="1097">
    <w:name w:val="Колонтитулы"/>
    <w:basedOn w:val="1067"/>
    <w:qFormat/>
    <w:pPr>
      <w:pBdr/>
      <w:spacing/>
      <w:ind/>
    </w:pPr>
  </w:style>
  <w:style w:type="paragraph" w:styleId="1098">
    <w:name w:val="Колонтитулы (user)"/>
    <w:basedOn w:val="1067"/>
    <w:qFormat/>
    <w:pPr>
      <w:pBdr/>
      <w:spacing/>
      <w:ind/>
    </w:pPr>
  </w:style>
  <w:style w:type="paragraph" w:styleId="1099">
    <w:name w:val="Header"/>
    <w:basedOn w:val="1097"/>
    <w:uiPriority w:val="99"/>
    <w:unhideWhenUsed/>
    <w:pPr>
      <w:pBdr/>
      <w:tabs>
        <w:tab w:val="clear" w:leader="none" w:pos="720"/>
        <w:tab w:val="center" w:leader="none" w:pos="4680"/>
        <w:tab w:val="right" w:leader="none" w:pos="9360"/>
      </w:tabs>
      <w:spacing w:after="0" w:before="0" w:line="240" w:lineRule="auto"/>
      <w:ind/>
    </w:pPr>
  </w:style>
  <w:style w:type="paragraph" w:styleId="1100">
    <w:name w:val="Footer"/>
    <w:basedOn w:val="1097"/>
    <w:uiPriority w:val="99"/>
    <w:unhideWhenUsed/>
    <w:pPr>
      <w:pBdr/>
      <w:tabs>
        <w:tab w:val="clear" w:leader="none" w:pos="720"/>
        <w:tab w:val="center" w:leader="none" w:pos="4680"/>
        <w:tab w:val="right" w:leader="none" w:pos="9360"/>
      </w:tabs>
      <w:spacing w:after="0" w:before="0" w:line="240" w:lineRule="auto"/>
      <w:ind/>
    </w:pPr>
  </w:style>
  <w:style w:type="paragraph" w:styleId="1101">
    <w:name w:val="Верхний колонтитул слева"/>
    <w:basedOn w:val="1099"/>
    <w:qFormat/>
    <w:pPr>
      <w:pBdr/>
      <w:spacing/>
      <w:ind/>
    </w:pPr>
  </w:style>
  <w:style w:type="paragraph" w:styleId="1102">
    <w:name w:val="toc 1"/>
    <w:basedOn w:val="1067"/>
    <w:next w:val="1067"/>
    <w:uiPriority w:val="39"/>
    <w:unhideWhenUsed/>
    <w:pPr>
      <w:pBdr/>
      <w:spacing w:after="100" w:before="0"/>
      <w:ind/>
    </w:pPr>
  </w:style>
  <w:style w:type="paragraph" w:styleId="1103">
    <w:name w:val="toc 2"/>
    <w:basedOn w:val="1067"/>
    <w:next w:val="1067"/>
    <w:uiPriority w:val="39"/>
    <w:unhideWhenUsed/>
    <w:pPr>
      <w:pBdr/>
      <w:spacing w:after="100" w:before="0"/>
      <w:ind w:left="220"/>
    </w:pPr>
  </w:style>
  <w:style w:type="paragraph" w:styleId="1104">
    <w:name w:val="Содержимое таблицы (user)"/>
    <w:basedOn w:val="1067"/>
    <w:qFormat/>
    <w:pPr>
      <w:widowControl w:val="false"/>
      <w:suppressLineNumbers w:val="true"/>
      <w:pBdr/>
      <w:spacing/>
      <w:ind/>
    </w:pPr>
  </w:style>
  <w:style w:type="paragraph" w:styleId="1105">
    <w:name w:val="Заголовок таблицы (user)"/>
    <w:basedOn w:val="1104"/>
    <w:qFormat/>
    <w:pPr>
      <w:suppressLineNumbers w:val="true"/>
      <w:pBdr/>
      <w:spacing/>
      <w:ind/>
      <w:jc w:val="center"/>
    </w:pPr>
    <w:rPr>
      <w:b/>
      <w:bCs/>
    </w:rPr>
  </w:style>
  <w:style w:type="paragraph" w:styleId="1106">
    <w:name w:val="Содержимое врезки"/>
    <w:basedOn w:val="1067"/>
    <w:qFormat/>
    <w:pPr>
      <w:pBdr/>
      <w:spacing/>
      <w:ind/>
    </w:pPr>
  </w:style>
  <w:style w:type="table" w:styleId="1107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Table Grid"/>
    <w:basedOn w:val="110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header" Target="header3.xml" /><Relationship Id="rId13" Type="http://schemas.openxmlformats.org/officeDocument/2006/relationships/header" Target="header4.xml" /><Relationship Id="rId14" Type="http://schemas.openxmlformats.org/officeDocument/2006/relationships/header" Target="header5.xml" /><Relationship Id="rId15" Type="http://schemas.openxmlformats.org/officeDocument/2006/relationships/footer" Target="footer1.xml" /><Relationship Id="rId16" Type="http://schemas.openxmlformats.org/officeDocument/2006/relationships/footer" Target="footer2.xml" /><Relationship Id="rId17" Type="http://schemas.openxmlformats.org/officeDocument/2006/relationships/footer" Target="footer3.xml" /><Relationship Id="rId18" Type="http://schemas.openxmlformats.org/officeDocument/2006/relationships/footer" Target="footer4.xml" /><Relationship Id="rId19" Type="http://schemas.openxmlformats.org/officeDocument/2006/relationships/footer" Target="footer5.xml" 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image" Target="media/image5.png"/><Relationship Id="rId25" Type="http://schemas.openxmlformats.org/officeDocument/2006/relationships/hyperlink" Target="https://mail.google.com/?utm_source=chatgpt.com" TargetMode="External"/><Relationship Id="rId26" Type="http://schemas.openxmlformats.org/officeDocument/2006/relationships/image" Target="media/image6.png"/><Relationship Id="rId27" Type="http://schemas.openxmlformats.org/officeDocument/2006/relationships/image" Target="media/image7.png"/><Relationship Id="rId28" Type="http://schemas.openxmlformats.org/officeDocument/2006/relationships/image" Target="media/image8.png"/><Relationship Id="rId29" Type="http://schemas.openxmlformats.org/officeDocument/2006/relationships/image" Target="media/image9.png"/><Relationship Id="rId30" Type="http://schemas.openxmlformats.org/officeDocument/2006/relationships/image" Target="media/image10.png"/><Relationship Id="rId31" Type="http://schemas.openxmlformats.org/officeDocument/2006/relationships/image" Target="media/image11.png"/><Relationship Id="rId32" Type="http://schemas.openxmlformats.org/officeDocument/2006/relationships/image" Target="media/image12.jpg"/><Relationship Id="rId33" Type="http://schemas.openxmlformats.org/officeDocument/2006/relationships/image" Target="media/image13.jpg"/><Relationship Id="rId34" Type="http://schemas.openxmlformats.org/officeDocument/2006/relationships/image" Target="media/image1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064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Table Grid"/>
    <w:basedOn w:val="16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Table Grid Light"/>
    <w:basedOn w:val="16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Plain Table 1"/>
    <w:basedOn w:val="16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Plain Table 2"/>
    <w:basedOn w:val="16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Plain Table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Plain Table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Plain Table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1 Light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1 Light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1 Light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1 Light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1 Light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1 Light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1 Light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2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2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2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2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2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2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3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3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3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3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3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Grid Table 3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Grid Table 4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Grid Table 4 - Accent 1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Grid Table 4 - Accent 2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Grid Table 4 - Accent 3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4 - Accent 4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4 - Accent 5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4 - Accent 6"/>
    <w:basedOn w:val="16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5 Dark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Grid Table 5 Dark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Grid Table 5 Dark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Grid Table 5 Dark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5 Dark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Grid Table 5 Dark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Grid Table 5 Dark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Grid Table 6 Colorful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Grid Table 6 Colorful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Grid Table 6 Colorful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Grid Table 6 Colorful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6 Colorful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Grid Table 6 Colorful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Grid Table 6 Colorful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Grid Table 7 Colorful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Grid Table 7 Colorful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Grid Table 7 Colorful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Grid Table 7 Colorful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Grid Table 7 Colorful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Grid Table 7 Colorful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Grid Table 7 Colorful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1 Light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1 Light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1 Light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1 Light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1 Light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1 Light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1 Light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2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2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2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2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2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2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3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3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3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3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3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st Table 3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st Table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st Table 4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st Table 4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4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4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4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4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5 Dark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st Table 5 Dark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st Table 5 Dark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5 Dark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st Table 5 Dark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st Table 5 Dark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st Table 5 Dark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st Table 6 Colorful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List Table 6 Colorful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List Table 6 Colorful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st Table 6 Colorful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List Table 6 Colorful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List Table 6 Colorful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List Table 6 Colorful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List Table 7 Colorful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List Table 7 Colorful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List Table 7 Colorful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List Table 7 Colorful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st Table 7 Colorful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List Table 7 Colorful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List Table 7 Colorful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Lined - Accent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Lined - Accent 1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Lined - Accent 2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Lined - Accent 3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Lined - Accent 4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Lined - Accent 5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Lined - Accent 6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Bordered &amp; Lined - Accent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Bordered &amp; Lined - Accent 1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Bordered &amp; Lined - Accent 2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Bordered &amp; Lined - Accent 3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Bordered &amp; Lined - Accent 4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Bordered &amp; Lined - Accent 5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Bordered &amp; Lined - Accent 6"/>
    <w:basedOn w:val="16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Bordered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Bordered - Accent 1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Bordered - Accent 2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Bordered - Accent 3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Bordered - Accent 4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Bordered - Accent 5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>
    <w:name w:val="Bordered - Accent 6"/>
    <w:basedOn w:val="16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38" w:default="1">
    <w:name w:val="Normal"/>
    <w:qFormat/>
    <w:pPr>
      <w:pBdr/>
      <w:spacing/>
      <w:ind/>
    </w:pPr>
  </w:style>
  <w:style w:type="paragraph" w:styleId="1739">
    <w:name w:val="Heading 1"/>
    <w:basedOn w:val="1738"/>
    <w:next w:val="1738"/>
    <w:link w:val="17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740">
    <w:name w:val="Heading 2"/>
    <w:basedOn w:val="1738"/>
    <w:next w:val="1738"/>
    <w:link w:val="17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741">
    <w:name w:val="Heading 3"/>
    <w:basedOn w:val="1738"/>
    <w:next w:val="1738"/>
    <w:link w:val="17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742">
    <w:name w:val="Heading 4"/>
    <w:basedOn w:val="1738"/>
    <w:next w:val="1738"/>
    <w:link w:val="17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43">
    <w:name w:val="Heading 5"/>
    <w:basedOn w:val="1738"/>
    <w:next w:val="1738"/>
    <w:link w:val="17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44">
    <w:name w:val="Heading 6"/>
    <w:basedOn w:val="1738"/>
    <w:next w:val="1738"/>
    <w:link w:val="17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45">
    <w:name w:val="Heading 7"/>
    <w:basedOn w:val="1738"/>
    <w:next w:val="1738"/>
    <w:link w:val="17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46">
    <w:name w:val="Heading 8"/>
    <w:basedOn w:val="1738"/>
    <w:next w:val="1738"/>
    <w:link w:val="17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47">
    <w:name w:val="Heading 9"/>
    <w:basedOn w:val="1738"/>
    <w:next w:val="1738"/>
    <w:link w:val="17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48" w:default="1">
    <w:name w:val="Default Paragraph Font"/>
    <w:uiPriority w:val="1"/>
    <w:semiHidden/>
    <w:unhideWhenUsed/>
    <w:pPr>
      <w:pBdr/>
      <w:spacing/>
      <w:ind/>
    </w:pPr>
  </w:style>
  <w:style w:type="numbering" w:styleId="1749" w:default="1">
    <w:name w:val="No List"/>
    <w:uiPriority w:val="99"/>
    <w:semiHidden/>
    <w:unhideWhenUsed/>
    <w:pPr>
      <w:pBdr/>
      <w:spacing/>
      <w:ind/>
    </w:pPr>
  </w:style>
  <w:style w:type="character" w:styleId="1750">
    <w:name w:val="Heading 1 Char"/>
    <w:basedOn w:val="1748"/>
    <w:link w:val="17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51">
    <w:name w:val="Heading 2 Char"/>
    <w:basedOn w:val="1748"/>
    <w:link w:val="17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52">
    <w:name w:val="Heading 3 Char"/>
    <w:basedOn w:val="1748"/>
    <w:link w:val="17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53">
    <w:name w:val="Heading 4 Char"/>
    <w:basedOn w:val="1748"/>
    <w:link w:val="17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54">
    <w:name w:val="Heading 5 Char"/>
    <w:basedOn w:val="1748"/>
    <w:link w:val="17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55">
    <w:name w:val="Heading 6 Char"/>
    <w:basedOn w:val="1748"/>
    <w:link w:val="17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56">
    <w:name w:val="Heading 7 Char"/>
    <w:basedOn w:val="1748"/>
    <w:link w:val="17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57">
    <w:name w:val="Heading 8 Char"/>
    <w:basedOn w:val="1748"/>
    <w:link w:val="1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58">
    <w:name w:val="Heading 9 Char"/>
    <w:basedOn w:val="1748"/>
    <w:link w:val="17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59">
    <w:name w:val="Title"/>
    <w:basedOn w:val="1738"/>
    <w:next w:val="1738"/>
    <w:link w:val="17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60">
    <w:name w:val="Title Char"/>
    <w:basedOn w:val="1748"/>
    <w:link w:val="17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61">
    <w:name w:val="Subtitle"/>
    <w:basedOn w:val="1738"/>
    <w:next w:val="1738"/>
    <w:link w:val="17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62">
    <w:name w:val="Subtitle Char"/>
    <w:basedOn w:val="1748"/>
    <w:link w:val="17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63">
    <w:name w:val="Quote"/>
    <w:basedOn w:val="1738"/>
    <w:next w:val="1738"/>
    <w:link w:val="17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64">
    <w:name w:val="Quote Char"/>
    <w:basedOn w:val="1748"/>
    <w:link w:val="17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65">
    <w:name w:val="List Paragraph"/>
    <w:basedOn w:val="1738"/>
    <w:uiPriority w:val="34"/>
    <w:qFormat/>
    <w:pPr>
      <w:pBdr/>
      <w:spacing/>
      <w:ind w:left="720"/>
      <w:contextualSpacing w:val="true"/>
    </w:pPr>
  </w:style>
  <w:style w:type="character" w:styleId="1766">
    <w:name w:val="Intense Emphasis"/>
    <w:basedOn w:val="17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67">
    <w:name w:val="Intense Quote"/>
    <w:basedOn w:val="1738"/>
    <w:next w:val="1738"/>
    <w:link w:val="17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68">
    <w:name w:val="Intense Quote Char"/>
    <w:basedOn w:val="1748"/>
    <w:link w:val="17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69">
    <w:name w:val="Intense Reference"/>
    <w:basedOn w:val="17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70">
    <w:name w:val="No Spacing"/>
    <w:basedOn w:val="1738"/>
    <w:uiPriority w:val="1"/>
    <w:qFormat/>
    <w:pPr>
      <w:pBdr/>
      <w:spacing w:after="0" w:line="240" w:lineRule="auto"/>
      <w:ind/>
    </w:pPr>
  </w:style>
  <w:style w:type="character" w:styleId="1771">
    <w:name w:val="Subtle Emphasis"/>
    <w:basedOn w:val="17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72">
    <w:name w:val="Emphasis"/>
    <w:basedOn w:val="1748"/>
    <w:uiPriority w:val="20"/>
    <w:qFormat/>
    <w:pPr>
      <w:pBdr/>
      <w:spacing/>
      <w:ind/>
    </w:pPr>
    <w:rPr>
      <w:i/>
      <w:iCs/>
    </w:rPr>
  </w:style>
  <w:style w:type="character" w:styleId="1773">
    <w:name w:val="Strong"/>
    <w:basedOn w:val="1748"/>
    <w:uiPriority w:val="22"/>
    <w:qFormat/>
    <w:pPr>
      <w:pBdr/>
      <w:spacing/>
      <w:ind/>
    </w:pPr>
    <w:rPr>
      <w:b/>
      <w:bCs/>
    </w:rPr>
  </w:style>
  <w:style w:type="character" w:styleId="1774">
    <w:name w:val="Subtle Reference"/>
    <w:basedOn w:val="17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75">
    <w:name w:val="Book Title"/>
    <w:basedOn w:val="17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76">
    <w:name w:val="Header"/>
    <w:basedOn w:val="1738"/>
    <w:link w:val="17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7">
    <w:name w:val="Header Char"/>
    <w:basedOn w:val="1748"/>
    <w:link w:val="1776"/>
    <w:uiPriority w:val="99"/>
    <w:pPr>
      <w:pBdr/>
      <w:spacing/>
      <w:ind/>
    </w:pPr>
  </w:style>
  <w:style w:type="paragraph" w:styleId="1778">
    <w:name w:val="Footer"/>
    <w:basedOn w:val="1738"/>
    <w:link w:val="17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9">
    <w:name w:val="Footer Char"/>
    <w:basedOn w:val="1748"/>
    <w:link w:val="1778"/>
    <w:uiPriority w:val="99"/>
    <w:pPr>
      <w:pBdr/>
      <w:spacing/>
      <w:ind/>
    </w:pPr>
  </w:style>
  <w:style w:type="paragraph" w:styleId="1780">
    <w:name w:val="Caption"/>
    <w:basedOn w:val="1738"/>
    <w:next w:val="17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81">
    <w:name w:val="footnote text"/>
    <w:basedOn w:val="1738"/>
    <w:link w:val="17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82">
    <w:name w:val="Footnote Text Char"/>
    <w:basedOn w:val="1748"/>
    <w:link w:val="1781"/>
    <w:uiPriority w:val="99"/>
    <w:semiHidden/>
    <w:pPr>
      <w:pBdr/>
      <w:spacing/>
      <w:ind/>
    </w:pPr>
    <w:rPr>
      <w:sz w:val="20"/>
      <w:szCs w:val="20"/>
    </w:rPr>
  </w:style>
  <w:style w:type="character" w:styleId="1783">
    <w:name w:val="footnote reference"/>
    <w:basedOn w:val="1748"/>
    <w:uiPriority w:val="99"/>
    <w:semiHidden/>
    <w:unhideWhenUsed/>
    <w:pPr>
      <w:pBdr/>
      <w:spacing/>
      <w:ind/>
    </w:pPr>
    <w:rPr>
      <w:vertAlign w:val="superscript"/>
    </w:rPr>
  </w:style>
  <w:style w:type="paragraph" w:styleId="1784">
    <w:name w:val="endnote text"/>
    <w:basedOn w:val="1738"/>
    <w:link w:val="17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85">
    <w:name w:val="Endnote Text Char"/>
    <w:basedOn w:val="1748"/>
    <w:link w:val="1784"/>
    <w:uiPriority w:val="99"/>
    <w:semiHidden/>
    <w:pPr>
      <w:pBdr/>
      <w:spacing/>
      <w:ind/>
    </w:pPr>
    <w:rPr>
      <w:sz w:val="20"/>
      <w:szCs w:val="20"/>
    </w:rPr>
  </w:style>
  <w:style w:type="character" w:styleId="1786">
    <w:name w:val="endnote reference"/>
    <w:basedOn w:val="1748"/>
    <w:uiPriority w:val="99"/>
    <w:semiHidden/>
    <w:unhideWhenUsed/>
    <w:pPr>
      <w:pBdr/>
      <w:spacing/>
      <w:ind/>
    </w:pPr>
    <w:rPr>
      <w:vertAlign w:val="superscript"/>
    </w:rPr>
  </w:style>
  <w:style w:type="character" w:styleId="1787">
    <w:name w:val="Hyperlink"/>
    <w:basedOn w:val="17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88">
    <w:name w:val="FollowedHyperlink"/>
    <w:basedOn w:val="17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89">
    <w:name w:val="toc 1"/>
    <w:basedOn w:val="1738"/>
    <w:next w:val="1738"/>
    <w:uiPriority w:val="39"/>
    <w:unhideWhenUsed/>
    <w:pPr>
      <w:pBdr/>
      <w:spacing w:after="100"/>
      <w:ind/>
    </w:pPr>
  </w:style>
  <w:style w:type="paragraph" w:styleId="1790">
    <w:name w:val="toc 2"/>
    <w:basedOn w:val="1738"/>
    <w:next w:val="1738"/>
    <w:uiPriority w:val="39"/>
    <w:unhideWhenUsed/>
    <w:pPr>
      <w:pBdr/>
      <w:spacing w:after="100"/>
      <w:ind w:left="220"/>
    </w:pPr>
  </w:style>
  <w:style w:type="paragraph" w:styleId="1791">
    <w:name w:val="toc 3"/>
    <w:basedOn w:val="1738"/>
    <w:next w:val="1738"/>
    <w:uiPriority w:val="39"/>
    <w:unhideWhenUsed/>
    <w:pPr>
      <w:pBdr/>
      <w:spacing w:after="100"/>
      <w:ind w:left="440"/>
    </w:pPr>
  </w:style>
  <w:style w:type="paragraph" w:styleId="1792">
    <w:name w:val="toc 4"/>
    <w:basedOn w:val="1738"/>
    <w:next w:val="1738"/>
    <w:uiPriority w:val="39"/>
    <w:unhideWhenUsed/>
    <w:pPr>
      <w:pBdr/>
      <w:spacing w:after="100"/>
      <w:ind w:left="660"/>
    </w:pPr>
  </w:style>
  <w:style w:type="paragraph" w:styleId="1793">
    <w:name w:val="toc 5"/>
    <w:basedOn w:val="1738"/>
    <w:next w:val="1738"/>
    <w:uiPriority w:val="39"/>
    <w:unhideWhenUsed/>
    <w:pPr>
      <w:pBdr/>
      <w:spacing w:after="100"/>
      <w:ind w:left="880"/>
    </w:pPr>
  </w:style>
  <w:style w:type="paragraph" w:styleId="1794">
    <w:name w:val="toc 6"/>
    <w:basedOn w:val="1738"/>
    <w:next w:val="1738"/>
    <w:uiPriority w:val="39"/>
    <w:unhideWhenUsed/>
    <w:pPr>
      <w:pBdr/>
      <w:spacing w:after="100"/>
      <w:ind w:left="1100"/>
    </w:pPr>
  </w:style>
  <w:style w:type="paragraph" w:styleId="1795">
    <w:name w:val="toc 7"/>
    <w:basedOn w:val="1738"/>
    <w:next w:val="1738"/>
    <w:uiPriority w:val="39"/>
    <w:unhideWhenUsed/>
    <w:pPr>
      <w:pBdr/>
      <w:spacing w:after="100"/>
      <w:ind w:left="1320"/>
    </w:pPr>
  </w:style>
  <w:style w:type="paragraph" w:styleId="1796">
    <w:name w:val="toc 8"/>
    <w:basedOn w:val="1738"/>
    <w:next w:val="1738"/>
    <w:uiPriority w:val="39"/>
    <w:unhideWhenUsed/>
    <w:pPr>
      <w:pBdr/>
      <w:spacing w:after="100"/>
      <w:ind w:left="1540"/>
    </w:pPr>
  </w:style>
  <w:style w:type="paragraph" w:styleId="1797">
    <w:name w:val="toc 9"/>
    <w:basedOn w:val="1738"/>
    <w:next w:val="1738"/>
    <w:uiPriority w:val="39"/>
    <w:unhideWhenUsed/>
    <w:pPr>
      <w:pBdr/>
      <w:spacing w:after="100"/>
      <w:ind w:left="1760"/>
    </w:pPr>
  </w:style>
  <w:style w:type="character" w:styleId="1798">
    <w:name w:val="Placeholder Text"/>
    <w:basedOn w:val="1748"/>
    <w:uiPriority w:val="99"/>
    <w:semiHidden/>
    <w:pPr>
      <w:pBdr/>
      <w:spacing/>
      <w:ind/>
    </w:pPr>
    <w:rPr>
      <w:color w:val="666666"/>
    </w:rPr>
  </w:style>
  <w:style w:type="paragraph" w:styleId="1799">
    <w:name w:val="TOC Heading"/>
    <w:uiPriority w:val="39"/>
    <w:unhideWhenUsed/>
    <w:pPr>
      <w:pBdr/>
      <w:spacing/>
      <w:ind/>
    </w:pPr>
  </w:style>
  <w:style w:type="paragraph" w:styleId="1800">
    <w:name w:val="table of figures"/>
    <w:basedOn w:val="1738"/>
    <w:next w:val="173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</cp:revision>
  <dcterms:modified xsi:type="dcterms:W3CDTF">2026-06-09T14:00:57Z</dcterms:modified>
</cp:coreProperties>
</file>