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736F4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ОТЗЫВ</w:t>
        <w:br/>
        <w:t xml:space="preserve">НА ВЫПУСКНУЮ КВАЛИФИКАЦИОННУЮ РАБОТУ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C3988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тему: «Мониторинг локально-вычислительной сети»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68680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Студента 4 курса группы 222 СА дневной формы обучения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46C556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Моногаров Максим Александрович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C690F0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Актуальность выпускной квалификационной работы: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EAEA4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Актуальность данной выпускной квалификационной работы обусловлена необходимостью обеспечения стабильного функционирования локально-вычислительных сетей современных организаций. Рост количества сетевых устройств, увеличение объема передаваемых данных и необ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ходимость своевременного выявления неисправностей требуют внедрения эффективных средств мониторинга сети. Использование современных систем мониторинга позволяет повысить надежность работы информационной инфраструктуры, сократить время обнаружения и устране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ния сбоев, а также обеспечить высокий уровень доступности сетевых ресурсов.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284CC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Реализация цели и решение поставленных задач: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A668C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 выпускной квалификационной работы достигнута в полном объеме. В ходе выполнения работы были изучены основные принципы мониторинга локально-вычислительных сетей, рассмотрены существующие программные решения, разработана и настроена система мониторинга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сети. Все поставленные задачи успешно решены.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4F99D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Оценка содержания выпускной квалификационной работы: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6AA28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 работы соответствует утвержденной теме и установленным требованиям к выпускным квалификационным работам. Материал изложен последовательно и логично, теоретическая часть подкреплена практической реализацией.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F8096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Положительные стороны выпускной квалификационной работы: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BF70F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достоинствам работы следует отнести практическую направленность разработанного решения, возможность его применения в организациях различного масштаба, а также грамотную настройку инструментов мониторинга для контроля состояния сетевого оборудования и сет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евых сервисов. Разработанная система позволяет своевременно выявлять неисправности и контролировать основные параметры работы локально-вычислительной сети.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AD34B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Замечания к выпускной квалификационной работе: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8AB85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написана в форме дипломной работы, присутствует практическая часть.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B1C0B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Рекомендуемая оценка выпускной квалификационной работы: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EF34D2">
      <w:pPr>
        <w:suppressLineNumbers w:val="false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  <w:u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Рекомендуемая оценка выпускной квалифи</w:t>
      </w:r>
      <w:r>
        <w:rPr>
          <w:rFonts w:ascii="Times New Roman" w:hAnsi="Times New Roman" w:cs="Times New Roman"/>
          <w:sz w:val="28"/>
          <w:szCs w:val="28"/>
        </w:rPr>
        <w:t xml:space="preserve">кационной</w:t>
      </w:r>
      <w:r>
        <w:rPr>
          <w:rFonts w:ascii="Times New Roman" w:hAnsi="Times New Roman" w:cs="Times New Roman"/>
          <w:sz w:val="28"/>
          <w:szCs w:val="28"/>
        </w:rPr>
        <w:t xml:space="preserve"> работы:</w:t>
      </w:r>
      <w:r>
        <w:rPr>
          <w:rFonts w:ascii="Times New Roman" w:hAnsi="Times New Roman" w:cs="Times New Roman"/>
          <w:sz w:val="28"/>
          <w:szCs w:val="28"/>
          <w:u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1732BF19">
      <w:pPr>
        <w:suppressLineNumbers w:val="false"/>
        <w:pBdr/>
        <w:spacing w:after="0" w:before="0" w:line="360" w:lineRule="auto"/>
        <w:ind/>
        <w:rPr>
          <w:sz w:val="28"/>
          <w:szCs w:val="28"/>
          <w:u w:val="none"/>
        </w:rPr>
      </w:pPr>
      <w:r>
        <w:rPr>
          <w:rFonts w:ascii="Times New Roman" w:hAnsi="Times New Roman" w:cs="Times New Roman"/>
          <w:sz w:val="28"/>
          <w:szCs w:val="28"/>
          <w:u w:val="none"/>
        </w:rPr>
        <w:t xml:space="preserve">Работа заслуживает оценки «</w:t>
      </w:r>
      <w:r>
        <w:rPr>
          <w:rFonts w:ascii="Times New Roman" w:hAnsi="Times New Roman" w:cs="Times New Roman"/>
          <w:b/>
          <w:bCs/>
          <w:sz w:val="28"/>
          <w:szCs w:val="28"/>
          <w:u w:val="none"/>
        </w:rPr>
        <w:t xml:space="preserve">отлично</w:t>
      </w:r>
      <w:r>
        <w:rPr>
          <w:rFonts w:ascii="Times New Roman" w:hAnsi="Times New Roman" w:cs="Times New Roman"/>
          <w:sz w:val="28"/>
          <w:szCs w:val="28"/>
          <w:u w:val="none"/>
        </w:rPr>
        <w:t xml:space="preserve">»</w:t>
      </w:r>
      <w:r>
        <w:rPr>
          <w:sz w:val="28"/>
          <w:szCs w:val="28"/>
          <w:u w:val="none"/>
        </w:rPr>
      </w:r>
      <w:r/>
    </w:p>
    <w:p w14:paraId="1F18325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541AB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3897CFB8">
      <w:pPr>
        <w:pStyle w:val="664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Егорова Анна Андреевна   </w:t>
        <w:tab/>
        <w:tab/>
        <w:tab/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25</w:t>
      </w:r>
      <w:r>
        <w:rPr>
          <w:rFonts w:ascii="Times New Roman" w:hAnsi="Times New Roman" w:cs="Times New Roman"/>
          <w:sz w:val="28"/>
          <w:szCs w:val="28"/>
        </w:rPr>
        <w:t xml:space="preserve">» июня 202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17F60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2026-06-22T13:09:49Z</dcterms:modified>
</cp:coreProperties>
</file>