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650B3C">
      <w:r w:rsidRPr="00650B3C">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650B3C">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650B3C">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650B3C">
      <w:r w:rsidRPr="00650B3C">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590954" w:rsidRPr="00356148" w:rsidRDefault="00D61062"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5851661447ACE278C514483EDF6463D8</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D61062">
              <w:rPr>
                <w:rFonts w:ascii="Calibri" w:hAnsi="Calibri" w:cs="SimSun"/>
                <w:b/>
                <w:sz w:val="36"/>
                <w:szCs w:val="36"/>
              </w:rPr>
              <w:t>M.KOKILA</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650B3C"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D56" w:rsidRDefault="00D72D56">
      <w:pPr>
        <w:spacing w:after="0" w:line="240" w:lineRule="auto"/>
      </w:pPr>
      <w:r>
        <w:separator/>
      </w:r>
    </w:p>
  </w:endnote>
  <w:endnote w:type="continuationSeparator" w:id="0">
    <w:p w:rsidR="00D72D56" w:rsidRDefault="00D72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650B3C">
      <w:fldChar w:fldCharType="begin"/>
    </w:r>
    <w:r>
      <w:instrText xml:space="preserve"> PAGE   \* MERGEFORMAT </w:instrText>
    </w:r>
    <w:r w:rsidR="00650B3C">
      <w:fldChar w:fldCharType="separate"/>
    </w:r>
    <w:r w:rsidR="00DA65AE">
      <w:rPr>
        <w:noProof/>
      </w:rPr>
      <w:t>11</w:t>
    </w:r>
    <w:r w:rsidR="00650B3C">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D56" w:rsidRDefault="00D72D56">
      <w:pPr>
        <w:spacing w:after="0" w:line="240" w:lineRule="auto"/>
      </w:pPr>
      <w:r>
        <w:separator/>
      </w:r>
    </w:p>
  </w:footnote>
  <w:footnote w:type="continuationSeparator" w:id="0">
    <w:p w:rsidR="00D72D56" w:rsidRDefault="00D72D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650B3C">
    <w:pPr>
      <w:pStyle w:val="Header"/>
    </w:pPr>
    <w:r w:rsidRPr="00650B3C">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D620785"/>
    <w:rsid w:val="0025424A"/>
    <w:rsid w:val="00256A79"/>
    <w:rsid w:val="002986E9"/>
    <w:rsid w:val="002A11E8"/>
    <w:rsid w:val="003116C7"/>
    <w:rsid w:val="0032265B"/>
    <w:rsid w:val="00356148"/>
    <w:rsid w:val="005153FD"/>
    <w:rsid w:val="005362D3"/>
    <w:rsid w:val="00585BA2"/>
    <w:rsid w:val="00590954"/>
    <w:rsid w:val="005920A3"/>
    <w:rsid w:val="005E3C63"/>
    <w:rsid w:val="005E6F45"/>
    <w:rsid w:val="0061189C"/>
    <w:rsid w:val="0064533D"/>
    <w:rsid w:val="00650B3C"/>
    <w:rsid w:val="007A01E9"/>
    <w:rsid w:val="007E1684"/>
    <w:rsid w:val="007E5507"/>
    <w:rsid w:val="00832348"/>
    <w:rsid w:val="008862E3"/>
    <w:rsid w:val="008C26AD"/>
    <w:rsid w:val="008D3448"/>
    <w:rsid w:val="008E1A8A"/>
    <w:rsid w:val="008E507D"/>
    <w:rsid w:val="009E37C4"/>
    <w:rsid w:val="00A74B83"/>
    <w:rsid w:val="00BE2DBC"/>
    <w:rsid w:val="00D1398A"/>
    <w:rsid w:val="00D61062"/>
    <w:rsid w:val="00D72D56"/>
    <w:rsid w:val="00DA65AE"/>
    <w:rsid w:val="00DB09EE"/>
    <w:rsid w:val="00DE7BC1"/>
    <w:rsid w:val="00E2529D"/>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C6051440-754E-47E4-A495-03777C6B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2024-03-22T09:06:00Z</dcterms:created>
  <dcterms:modified xsi:type="dcterms:W3CDTF">2024-03-22T09:06:00Z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