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800"/>
        <w:jc w:val="center"/>
      </w:pPr>
      <w:r>
        <w:rPr>
          <w:rFonts w:ascii="Arial" w:cs="Arial" w:eastAsia="Arial" w:hAnsi="Arial"/>
          <w:b/>
          <w:bCs/>
          <w:color w:val="1F4E79"/>
          <w:sz w:val="72"/>
          <w:szCs w:val="72"/>
        </w:rPr>
        <w:t xml:space="preserve">MARKETPLACE.GM</w:t>
      </w:r>
    </w:p>
    <w:p>
      <w:pPr>
        <w:spacing w:after="200"/>
        <w:jc w:val="center"/>
      </w:pPr>
      <w:r>
        <w:rPr>
          <w:rFonts w:ascii="Arial" w:cs="Arial" w:eastAsia="Arial" w:hAnsi="Arial"/>
          <w:color w:val="404040"/>
          <w:sz w:val="32"/>
          <w:szCs w:val="32"/>
        </w:rPr>
        <w:t xml:space="preserve">Business Plan &amp; Concept Document</w:t>
      </w:r>
    </w:p>
    <w:p>
      <w:pPr>
        <w:spacing w:after="200"/>
        <w:jc w:val="center"/>
      </w:pPr>
      <w:r>
        <w:rPr>
          <w:i/>
          <w:iCs/>
          <w:color w:val="606060"/>
          <w:sz w:val="26"/>
          <w:szCs w:val="26"/>
        </w:rPr>
        <w:t xml:space="preserve">The online marketplace for The Gambia</w:t>
      </w:r>
    </w:p>
    <w:p>
      <w:pPr>
        <w:spacing w:after="100" w:before="2400"/>
        <w:jc w:val="center"/>
      </w:pPr>
      <w:r>
        <w:rPr>
          <w:color w:val="606060"/>
          <w:sz w:val="22"/>
          <w:szCs w:val="22"/>
        </w:rPr>
        <w:t xml:space="preserve">Prepared: April 2026</w:t>
      </w:r>
    </w:p>
    <w:p>
      <w:pPr>
        <w:jc w:val="center"/>
      </w:pPr>
      <w:r>
        <w:rPr>
          <w:color w:val="606060"/>
          <w:sz w:val="22"/>
          <w:szCs w:val="22"/>
        </w:rPr>
        <w:t xml:space="preserve">Version 1.0 — Concept</w:t>
      </w:r>
    </w:p>
    <w:p>
      <w:r>
        <w:br w:type="page"/>
      </w:r>
    </w:p>
    <w:p>
      <w:pPr>
        <w:pStyle w:val="Heading1"/>
      </w:pPr>
      <w:r>
        <w:t xml:space="preserve">1. Executive Summary</w:t>
      </w:r>
    </w:p>
    <w:p>
      <w:pPr>
        <w:spacing w:after="120"/>
      </w:pPr>
      <w:r>
        <w:t xml:space="preserve">Marketplace.gm is a proposed online classifieds platform for The Gambia, modeled after the Dutch Marktplaats.nl. It enables private individuals and small businesses to buy and sell goods and services within the country — from second‑hand electronics and furniture to vehicles, real estate, jobs, and local services. The platform is mobile‑first, lightweight on data, and localized in English, Mandinka, Wolof and Fula.</w:t>
      </w:r>
    </w:p>
    <w:p>
      <w:pPr>
        <w:spacing w:after="120"/>
      </w:pPr>
      <w:r>
        <w:t xml:space="preserve">The Gambia has roughly 2.8 million inhabitants, 45.9% internet penetration, and mobile connections exceeding 100% of the population. Today, most peer‑to‑peer trade happens informally, through Facebook Marketplace groups, WhatsApp communities, and in physical markets. No dominant Gambian‑owned classifieds platform exists. This creates a window to build the default destination for buying and selling in The Gambia.</w:t>
      </w:r>
    </w:p>
    <w:p>
      <w:pPr>
        <w:spacing w:after="120"/>
      </w:pPr>
      <w:r>
        <w:t xml:space="preserve">The initial business model combines free listings with paid promotion (“bump‑ups” and featured ads), premium seller accounts for dealers (auto, real estate, retail), and display advertising. Payments are handled out of platform initially, with phased integration of Gambian mobile money (Africell Money, GamPay, Qodoo, Wave) and a trust and safety layer (verified sellers, ratings, scam reporting).</w:t>
      </w:r>
    </w:p>
    <w:p>
      <w:pPr>
        <w:pStyle w:val="Heading3"/>
      </w:pPr>
      <w:r>
        <w:t xml:space="preserve">Key figures (target, end of Year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tcBorders>
              <w:top w:val="single" w:color="CCCCCC" w:sz="6"/>
              <w:left w:val="single" w:color="CCCCCC" w:sz="6"/>
              <w:bottom w:val="single" w:color="CCCCCC" w:sz="6"/>
              <w:right w:val="single" w:color="CCCCCC" w:sz="6"/>
            </w:tcBorders>
            <w:shd w:fill="1F4E79" w:color="auto" w:val="clear"/>
            <w:tcMar>
              <w:top w:type="dxa" w:w="100"/>
              <w:left w:type="dxa" w:w="140"/>
              <w:bottom w:type="dxa" w:w="100"/>
              <w:right w:type="dxa" w:w="140"/>
            </w:tcMar>
          </w:tcPr>
          <w:p>
            <w:pPr>
              <w:jc w:val="left"/>
            </w:pPr>
            <w:r>
              <w:rPr>
                <w:b/>
                <w:bCs/>
                <w:color w:val="FFFFFF"/>
              </w:rPr>
              <w:t xml:space="preserve">Metric</w:t>
            </w:r>
          </w:p>
        </w:tc>
        <w:tc>
          <w:tcPr>
            <w:tcW w:type="dxa" w:w="2320"/>
            <w:tcBorders>
              <w:top w:val="single" w:color="CCCCCC" w:sz="6"/>
              <w:left w:val="single" w:color="CCCCCC" w:sz="6"/>
              <w:bottom w:val="single" w:color="CCCCCC" w:sz="6"/>
              <w:right w:val="single" w:color="CCCCCC" w:sz="6"/>
            </w:tcBorders>
            <w:shd w:fill="1F4E79" w:color="auto" w:val="clear"/>
            <w:tcMar>
              <w:top w:type="dxa" w:w="100"/>
              <w:left w:type="dxa" w:w="140"/>
              <w:bottom w:type="dxa" w:w="100"/>
              <w:right w:type="dxa" w:w="140"/>
            </w:tcMar>
          </w:tcPr>
          <w:p>
            <w:pPr>
              <w:jc w:val="left"/>
            </w:pPr>
            <w:r>
              <w:rPr>
                <w:b/>
                <w:bCs/>
                <w:color w:val="FFFFFF"/>
              </w:rPr>
              <w:t xml:space="preserve">Year 1</w:t>
            </w:r>
          </w:p>
        </w:tc>
        <w:tc>
          <w:tcPr>
            <w:tcW w:type="dxa" w:w="2320"/>
            <w:tcBorders>
              <w:top w:val="single" w:color="CCCCCC" w:sz="6"/>
              <w:left w:val="single" w:color="CCCCCC" w:sz="6"/>
              <w:bottom w:val="single" w:color="CCCCCC" w:sz="6"/>
              <w:right w:val="single" w:color="CCCCCC" w:sz="6"/>
            </w:tcBorders>
            <w:shd w:fill="1F4E79" w:color="auto" w:val="clear"/>
            <w:tcMar>
              <w:top w:type="dxa" w:w="100"/>
              <w:left w:type="dxa" w:w="140"/>
              <w:bottom w:type="dxa" w:w="100"/>
              <w:right w:type="dxa" w:w="140"/>
            </w:tcMar>
          </w:tcPr>
          <w:p>
            <w:pPr>
              <w:jc w:val="left"/>
            </w:pPr>
            <w:r>
              <w:rPr>
                <w:b/>
                <w:bCs/>
                <w:color w:val="FFFFFF"/>
              </w:rPr>
              <w:t xml:space="preserve">Year 2</w:t>
            </w:r>
          </w:p>
        </w:tc>
        <w:tc>
          <w:tcPr>
            <w:tcW w:type="dxa" w:w="2320"/>
            <w:tcBorders>
              <w:top w:val="single" w:color="CCCCCC" w:sz="6"/>
              <w:left w:val="single" w:color="CCCCCC" w:sz="6"/>
              <w:bottom w:val="single" w:color="CCCCCC" w:sz="6"/>
              <w:right w:val="single" w:color="CCCCCC" w:sz="6"/>
            </w:tcBorders>
            <w:shd w:fill="1F4E79" w:color="auto" w:val="clear"/>
            <w:tcMar>
              <w:top w:type="dxa" w:w="100"/>
              <w:left w:type="dxa" w:w="140"/>
              <w:bottom w:type="dxa" w:w="100"/>
              <w:right w:type="dxa" w:w="140"/>
            </w:tcMar>
          </w:tcPr>
          <w:p>
            <w:pPr>
              <w:jc w:val="left"/>
            </w:pPr>
            <w:r>
              <w:rPr>
                <w:b/>
                <w:bCs/>
                <w:color w:val="FFFFFF"/>
              </w:rPr>
              <w:t xml:space="preserve">Year 3</w:t>
            </w:r>
          </w:p>
        </w:tc>
      </w:tr>
      <w:tr>
        <w:tc>
          <w:tcPr>
            <w:tcW w:type="dxa" w:w="24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rPr>
              <w:t xml:space="preserve">Active listings</w:t>
            </w:r>
          </w:p>
        </w:tc>
        <w:tc>
          <w:tcPr>
            <w:tcW w:type="dxa" w:w="232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rPr>
              <w:t xml:space="preserve">5,000</w:t>
            </w:r>
          </w:p>
        </w:tc>
        <w:tc>
          <w:tcPr>
            <w:tcW w:type="dxa" w:w="232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rPr>
              <w:t xml:space="preserve">25,000</w:t>
            </w:r>
          </w:p>
        </w:tc>
        <w:tc>
          <w:tcPr>
            <w:tcW w:type="dxa" w:w="232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rPr>
              <w:t xml:space="preserve">80,000</w:t>
            </w:r>
          </w:p>
        </w:tc>
      </w:tr>
      <w:tr>
        <w:tc>
          <w:tcPr>
            <w:tcW w:type="dxa" w:w="2400"/>
            <w:tcBorders>
              <w:top w:val="single" w:color="CCCCCC" w:sz="6"/>
              <w:left w:val="single" w:color="CCCCCC" w:sz="6"/>
              <w:bottom w:val="single" w:color="CCCCCC" w:sz="6"/>
              <w:right w:val="single" w:color="CCCCCC" w:sz="6"/>
            </w:tcBorders>
            <w:shd w:fill="F2F2F2" w:color="auto" w:val="clear"/>
            <w:tcMar>
              <w:top w:type="dxa" w:w="100"/>
              <w:left w:type="dxa" w:w="140"/>
              <w:bottom w:type="dxa" w:w="100"/>
              <w:right w:type="dxa" w:w="140"/>
            </w:tcMar>
          </w:tcPr>
          <w:p>
            <w:pPr>
              <w:jc w:val="left"/>
            </w:pPr>
            <w:r>
              <w:rPr>
                <w:b w:val="false"/>
                <w:bCs w:val="false"/>
              </w:rPr>
              <w:t xml:space="preserve">Monthly active users</w:t>
            </w:r>
          </w:p>
        </w:tc>
        <w:tc>
          <w:tcPr>
            <w:tcW w:type="dxa" w:w="2320"/>
            <w:tcBorders>
              <w:top w:val="single" w:color="CCCCCC" w:sz="6"/>
              <w:left w:val="single" w:color="CCCCCC" w:sz="6"/>
              <w:bottom w:val="single" w:color="CCCCCC" w:sz="6"/>
              <w:right w:val="single" w:color="CCCCCC" w:sz="6"/>
            </w:tcBorders>
            <w:shd w:fill="F2F2F2" w:color="auto" w:val="clear"/>
            <w:tcMar>
              <w:top w:type="dxa" w:w="100"/>
              <w:left w:type="dxa" w:w="140"/>
              <w:bottom w:type="dxa" w:w="100"/>
              <w:right w:type="dxa" w:w="140"/>
            </w:tcMar>
          </w:tcPr>
          <w:p>
            <w:pPr>
              <w:jc w:val="left"/>
            </w:pPr>
            <w:r>
              <w:rPr>
                <w:b w:val="false"/>
                <w:bCs w:val="false"/>
              </w:rPr>
              <w:t xml:space="preserve">15,000</w:t>
            </w:r>
          </w:p>
        </w:tc>
        <w:tc>
          <w:tcPr>
            <w:tcW w:type="dxa" w:w="2320"/>
            <w:tcBorders>
              <w:top w:val="single" w:color="CCCCCC" w:sz="6"/>
              <w:left w:val="single" w:color="CCCCCC" w:sz="6"/>
              <w:bottom w:val="single" w:color="CCCCCC" w:sz="6"/>
              <w:right w:val="single" w:color="CCCCCC" w:sz="6"/>
            </w:tcBorders>
            <w:shd w:fill="F2F2F2" w:color="auto" w:val="clear"/>
            <w:tcMar>
              <w:top w:type="dxa" w:w="100"/>
              <w:left w:type="dxa" w:w="140"/>
              <w:bottom w:type="dxa" w:w="100"/>
              <w:right w:type="dxa" w:w="140"/>
            </w:tcMar>
          </w:tcPr>
          <w:p>
            <w:pPr>
              <w:jc w:val="left"/>
            </w:pPr>
            <w:r>
              <w:rPr>
                <w:b w:val="false"/>
                <w:bCs w:val="false"/>
              </w:rPr>
              <w:t xml:space="preserve">80,000</w:t>
            </w:r>
          </w:p>
        </w:tc>
        <w:tc>
          <w:tcPr>
            <w:tcW w:type="dxa" w:w="2320"/>
            <w:tcBorders>
              <w:top w:val="single" w:color="CCCCCC" w:sz="6"/>
              <w:left w:val="single" w:color="CCCCCC" w:sz="6"/>
              <w:bottom w:val="single" w:color="CCCCCC" w:sz="6"/>
              <w:right w:val="single" w:color="CCCCCC" w:sz="6"/>
            </w:tcBorders>
            <w:shd w:fill="F2F2F2" w:color="auto" w:val="clear"/>
            <w:tcMar>
              <w:top w:type="dxa" w:w="100"/>
              <w:left w:type="dxa" w:w="140"/>
              <w:bottom w:type="dxa" w:w="100"/>
              <w:right w:type="dxa" w:w="140"/>
            </w:tcMar>
          </w:tcPr>
          <w:p>
            <w:pPr>
              <w:jc w:val="left"/>
            </w:pPr>
            <w:r>
              <w:rPr>
                <w:b w:val="false"/>
                <w:bCs w:val="false"/>
              </w:rPr>
              <w:t xml:space="preserve">250,000</w:t>
            </w:r>
          </w:p>
        </w:tc>
      </w:tr>
      <w:tr>
        <w:tc>
          <w:tcPr>
            <w:tcW w:type="dxa" w:w="24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rPr>
              <w:t xml:space="preserve">Paid promotions / month</w:t>
            </w:r>
          </w:p>
        </w:tc>
        <w:tc>
          <w:tcPr>
            <w:tcW w:type="dxa" w:w="232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rPr>
              <w:t xml:space="preserve">300</w:t>
            </w:r>
          </w:p>
        </w:tc>
        <w:tc>
          <w:tcPr>
            <w:tcW w:type="dxa" w:w="232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rPr>
              <w:t xml:space="preserve">2,500</w:t>
            </w:r>
          </w:p>
        </w:tc>
        <w:tc>
          <w:tcPr>
            <w:tcW w:type="dxa" w:w="232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rPr>
              <w:t xml:space="preserve">12,000</w:t>
            </w:r>
          </w:p>
        </w:tc>
      </w:tr>
      <w:tr>
        <w:tc>
          <w:tcPr>
            <w:tcW w:type="dxa" w:w="2400"/>
            <w:tcBorders>
              <w:top w:val="single" w:color="CCCCCC" w:sz="6"/>
              <w:left w:val="single" w:color="CCCCCC" w:sz="6"/>
              <w:bottom w:val="single" w:color="CCCCCC" w:sz="6"/>
              <w:right w:val="single" w:color="CCCCCC" w:sz="6"/>
            </w:tcBorders>
            <w:shd w:fill="F2F2F2" w:color="auto" w:val="clear"/>
            <w:tcMar>
              <w:top w:type="dxa" w:w="100"/>
              <w:left w:type="dxa" w:w="140"/>
              <w:bottom w:type="dxa" w:w="100"/>
              <w:right w:type="dxa" w:w="140"/>
            </w:tcMar>
          </w:tcPr>
          <w:p>
            <w:pPr>
              <w:jc w:val="left"/>
            </w:pPr>
            <w:r>
              <w:rPr>
                <w:b w:val="false"/>
                <w:bCs w:val="false"/>
              </w:rPr>
              <w:t xml:space="preserve">Business accounts</w:t>
            </w:r>
          </w:p>
        </w:tc>
        <w:tc>
          <w:tcPr>
            <w:tcW w:type="dxa" w:w="2320"/>
            <w:tcBorders>
              <w:top w:val="single" w:color="CCCCCC" w:sz="6"/>
              <w:left w:val="single" w:color="CCCCCC" w:sz="6"/>
              <w:bottom w:val="single" w:color="CCCCCC" w:sz="6"/>
              <w:right w:val="single" w:color="CCCCCC" w:sz="6"/>
            </w:tcBorders>
            <w:shd w:fill="F2F2F2" w:color="auto" w:val="clear"/>
            <w:tcMar>
              <w:top w:type="dxa" w:w="100"/>
              <w:left w:type="dxa" w:w="140"/>
              <w:bottom w:type="dxa" w:w="100"/>
              <w:right w:type="dxa" w:w="140"/>
            </w:tcMar>
          </w:tcPr>
          <w:p>
            <w:pPr>
              <w:jc w:val="left"/>
            </w:pPr>
            <w:r>
              <w:rPr>
                <w:b w:val="false"/>
                <w:bCs w:val="false"/>
              </w:rPr>
              <w:t xml:space="preserve">50</w:t>
            </w:r>
          </w:p>
        </w:tc>
        <w:tc>
          <w:tcPr>
            <w:tcW w:type="dxa" w:w="2320"/>
            <w:tcBorders>
              <w:top w:val="single" w:color="CCCCCC" w:sz="6"/>
              <w:left w:val="single" w:color="CCCCCC" w:sz="6"/>
              <w:bottom w:val="single" w:color="CCCCCC" w:sz="6"/>
              <w:right w:val="single" w:color="CCCCCC" w:sz="6"/>
            </w:tcBorders>
            <w:shd w:fill="F2F2F2" w:color="auto" w:val="clear"/>
            <w:tcMar>
              <w:top w:type="dxa" w:w="100"/>
              <w:left w:type="dxa" w:w="140"/>
              <w:bottom w:type="dxa" w:w="100"/>
              <w:right w:type="dxa" w:w="140"/>
            </w:tcMar>
          </w:tcPr>
          <w:p>
            <w:pPr>
              <w:jc w:val="left"/>
            </w:pPr>
            <w:r>
              <w:rPr>
                <w:b w:val="false"/>
                <w:bCs w:val="false"/>
              </w:rPr>
              <w:t xml:space="preserve">300</w:t>
            </w:r>
          </w:p>
        </w:tc>
        <w:tc>
          <w:tcPr>
            <w:tcW w:type="dxa" w:w="2320"/>
            <w:tcBorders>
              <w:top w:val="single" w:color="CCCCCC" w:sz="6"/>
              <w:left w:val="single" w:color="CCCCCC" w:sz="6"/>
              <w:bottom w:val="single" w:color="CCCCCC" w:sz="6"/>
              <w:right w:val="single" w:color="CCCCCC" w:sz="6"/>
            </w:tcBorders>
            <w:shd w:fill="F2F2F2" w:color="auto" w:val="clear"/>
            <w:tcMar>
              <w:top w:type="dxa" w:w="100"/>
              <w:left w:type="dxa" w:w="140"/>
              <w:bottom w:type="dxa" w:w="100"/>
              <w:right w:type="dxa" w:w="140"/>
            </w:tcMar>
          </w:tcPr>
          <w:p>
            <w:pPr>
              <w:jc w:val="left"/>
            </w:pPr>
            <w:r>
              <w:rPr>
                <w:b w:val="false"/>
                <w:bCs w:val="false"/>
              </w:rPr>
              <w:t xml:space="preserve">1,200</w:t>
            </w:r>
          </w:p>
        </w:tc>
      </w:tr>
      <w:tr>
        <w:tc>
          <w:tcPr>
            <w:tcW w:type="dxa" w:w="24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rPr>
              <w:t xml:space="preserve">Est. annual revenue (GMD)</w:t>
            </w:r>
          </w:p>
        </w:tc>
        <w:tc>
          <w:tcPr>
            <w:tcW w:type="dxa" w:w="232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rPr>
              <w:t xml:space="preserve">0.4M</w:t>
            </w:r>
          </w:p>
        </w:tc>
        <w:tc>
          <w:tcPr>
            <w:tcW w:type="dxa" w:w="232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rPr>
              <w:t xml:space="preserve">3.5M</w:t>
            </w:r>
          </w:p>
        </w:tc>
        <w:tc>
          <w:tcPr>
            <w:tcW w:type="dxa" w:w="232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rPr>
              <w:t xml:space="preserve">15M</w:t>
            </w:r>
          </w:p>
        </w:tc>
      </w:tr>
    </w:tbl>
    <w:p>
      <w:pPr>
        <w:spacing w:before="120"/>
      </w:pPr>
      <w:r>
        <w:rPr>
          <w:i/>
          <w:iCs/>
          <w:color w:val="606060"/>
          <w:sz w:val="18"/>
          <w:szCs w:val="18"/>
        </w:rPr>
        <w:t xml:space="preserve">Figures are illustrative targets based on internet penetration benchmarks in comparable West African markets. Actuals depend on adoption speed and monetization rollout.</w:t>
      </w:r>
    </w:p>
    <w:p>
      <w:r>
        <w:br w:type="page"/>
      </w:r>
    </w:p>
    <w:p>
      <w:pPr>
        <w:pStyle w:val="Heading1"/>
      </w:pPr>
      <w:r>
        <w:t xml:space="preserve">2. Market Opportunity</w:t>
      </w:r>
    </w:p>
    <w:p>
      <w:pPr>
        <w:pStyle w:val="Heading2"/>
      </w:pPr>
      <w:r>
        <w:t xml:space="preserve">2.1 Country context</w:t>
      </w:r>
    </w:p>
    <w:p>
      <w:pPr>
        <w:pStyle w:val="ListParagraph"/>
        <w:numPr>
          <w:ilvl w:val="0"/>
          <w:numId w:val="2"/>
        </w:numPr>
        <w:spacing w:after="80"/>
      </w:pPr>
      <w:r>
        <w:t xml:space="preserve">Population: ~2.78 million (UN 2025 estimate).</w:t>
      </w:r>
    </w:p>
    <w:p>
      <w:pPr>
        <w:pStyle w:val="ListParagraph"/>
        <w:numPr>
          <w:ilvl w:val="0"/>
          <w:numId w:val="2"/>
        </w:numPr>
        <w:spacing w:after="80"/>
      </w:pPr>
      <w:r>
        <w:t xml:space="preserve">Internet penetration: 45.9% at start of 2025 (DataReportal), approximately 1.28 million users.</w:t>
      </w:r>
    </w:p>
    <w:p>
      <w:pPr>
        <w:pStyle w:val="ListParagraph"/>
        <w:numPr>
          <w:ilvl w:val="0"/>
          <w:numId w:val="2"/>
        </w:numPr>
        <w:spacing w:after="80"/>
      </w:pPr>
      <w:r>
        <w:t xml:space="preserve">Mobile connections: 3.15 million, equal to 113% of population — many users carry multiple SIMs.</w:t>
      </w:r>
    </w:p>
    <w:p>
      <w:pPr>
        <w:pStyle w:val="ListParagraph"/>
        <w:numPr>
          <w:ilvl w:val="0"/>
          <w:numId w:val="2"/>
        </w:numPr>
        <w:spacing w:after="80"/>
      </w:pPr>
      <w:r>
        <w:t xml:space="preserve">Main operators: Africell, Gamcel, Comium, QCell.</w:t>
      </w:r>
    </w:p>
    <w:p>
      <w:pPr>
        <w:pStyle w:val="ListParagraph"/>
        <w:numPr>
          <w:ilvl w:val="0"/>
          <w:numId w:val="2"/>
        </w:numPr>
        <w:spacing w:after="80"/>
      </w:pPr>
      <w:r>
        <w:t xml:space="preserve">Mobile money ecosystem: Africell Money, GamPay, Qodoo, Trust Bank Mobile Money, with Wave expanding regionally.</w:t>
      </w:r>
    </w:p>
    <w:p>
      <w:pPr>
        <w:pStyle w:val="ListParagraph"/>
        <w:numPr>
          <w:ilvl w:val="0"/>
          <w:numId w:val="2"/>
        </w:numPr>
        <w:spacing w:after="80"/>
      </w:pPr>
      <w:r>
        <w:t xml:space="preserve">Youthful population: median age ~17; ~60% under 25, heavy social media users (WhatsApp, Facebook, TikTok).</w:t>
      </w:r>
    </w:p>
    <w:p>
      <w:pPr>
        <w:pStyle w:val="ListParagraph"/>
        <w:numPr>
          <w:ilvl w:val="0"/>
          <w:numId w:val="2"/>
        </w:numPr>
        <w:spacing w:after="80"/>
      </w:pPr>
      <w:r>
        <w:t xml:space="preserve">Large Gambian diaspora (UK, US, Spain, Senegal, Netherlands) sends ~20% of GDP in remittances and buys/ships goods back home.</w:t>
      </w:r>
    </w:p>
    <w:p>
      <w:pPr>
        <w:pStyle w:val="Heading2"/>
      </w:pPr>
      <w:r>
        <w:t xml:space="preserve">2.2 How people trade today</w:t>
      </w:r>
    </w:p>
    <w:p>
      <w:pPr>
        <w:spacing w:after="120"/>
      </w:pPr>
      <w:r>
        <w:t xml:space="preserve">Peer‑to‑peer commerce in The Gambia happens through:</w:t>
      </w:r>
    </w:p>
    <w:p>
      <w:pPr>
        <w:pStyle w:val="ListParagraph"/>
        <w:numPr>
          <w:ilvl w:val="0"/>
          <w:numId w:val="2"/>
        </w:numPr>
        <w:spacing w:after="80"/>
      </w:pPr>
      <w:r>
        <w:t xml:space="preserve">Physical markets (Serekunda, Brikama, Albert Market) for daily goods.</w:t>
      </w:r>
    </w:p>
    <w:p>
      <w:pPr>
        <w:pStyle w:val="ListParagraph"/>
        <w:numPr>
          <w:ilvl w:val="0"/>
          <w:numId w:val="2"/>
        </w:numPr>
        <w:spacing w:after="80"/>
      </w:pPr>
      <w:r>
        <w:t xml:space="preserve">Facebook Marketplace and Facebook groups (“Gambia Buy and Sell”, community groups by town).</w:t>
      </w:r>
    </w:p>
    <w:p>
      <w:pPr>
        <w:pStyle w:val="ListParagraph"/>
        <w:numPr>
          <w:ilvl w:val="0"/>
          <w:numId w:val="2"/>
        </w:numPr>
        <w:spacing w:after="80"/>
      </w:pPr>
      <w:r>
        <w:t xml:space="preserve">WhatsApp status posts and group chats (dominant channel for cars, phones, property).</w:t>
      </w:r>
    </w:p>
    <w:p>
      <w:pPr>
        <w:pStyle w:val="ListParagraph"/>
        <w:numPr>
          <w:ilvl w:val="0"/>
          <w:numId w:val="2"/>
        </w:numPr>
        <w:spacing w:after="80"/>
      </w:pPr>
      <w:r>
        <w:t xml:space="preserve">Instagram shops for fashion and beauty.</w:t>
      </w:r>
    </w:p>
    <w:p>
      <w:pPr>
        <w:pStyle w:val="ListParagraph"/>
        <w:numPr>
          <w:ilvl w:val="0"/>
          <w:numId w:val="2"/>
        </w:numPr>
        <w:spacing w:after="80"/>
      </w:pPr>
      <w:r>
        <w:t xml:space="preserve">Word of mouth and local brokers (especially for land, livestock, vehicles).</w:t>
      </w:r>
    </w:p>
    <w:p>
      <w:pPr>
        <w:spacing w:after="120"/>
      </w:pPr>
      <w:r>
        <w:t xml:space="preserve">These channels share three pain points: listings disappear quickly, no search or filtering, and no reputation system. Buyers rely on personal trust or risk getting scammed.</w:t>
      </w:r>
    </w:p>
    <w:p>
      <w:pPr>
        <w:pStyle w:val="Heading2"/>
      </w:pPr>
      <w:r>
        <w:t xml:space="preserve">2.3 The opportunity</w:t>
      </w:r>
    </w:p>
    <w:p>
      <w:pPr>
        <w:spacing w:after="120"/>
      </w:pPr>
      <w:r>
        <w:t xml:space="preserve">A dedicated marketplace platform wins by solving the discovery and trust gap, while being localized, affordable on mobile data, and designed for how Gambians actually communicate (WhatsApp‑first contact, USSD‑aware login, low‑bandwidth images).</w:t>
      </w:r>
    </w:p>
    <w:p>
      <w:r>
        <w:br w:type="page"/>
      </w:r>
    </w:p>
    <w:p>
      <w:pPr>
        <w:pStyle w:val="Heading1"/>
      </w:pPr>
      <w:r>
        <w:t xml:space="preserve">3. Target Audience</w:t>
      </w:r>
    </w:p>
    <w:p>
      <w:pPr>
        <w:spacing w:after="120"/>
      </w:pPr>
      <w:r>
        <w:t xml:space="preserve">Marketplace.gm serves both sides of the transaction: sellers who want reach, and buyers who want choice and trust. The initial audience mirrors Marktplaats.nl’s early model: primarily consumer‑to‑consumer (C2C), with professional dealers layered on top.</w:t>
      </w:r>
    </w:p>
    <w:p>
      <w:pPr>
        <w:pStyle w:val="Heading2"/>
      </w:pPr>
      <w:r>
        <w:t xml:space="preserve">3.1 Buyer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120"/>
        <w:gridCol w:w="4440"/>
      </w:tblGrid>
      <w:tr>
        <w:trPr>
          <w:tblHeader/>
        </w:trPr>
        <w:tc>
          <w:tcPr>
            <w:tcW w:type="dxa" w:w="1800"/>
            <w:tcBorders>
              <w:top w:val="single" w:color="CCCCCC" w:sz="6"/>
              <w:left w:val="single" w:color="CCCCCC" w:sz="6"/>
              <w:bottom w:val="single" w:color="CCCCCC" w:sz="6"/>
              <w:right w:val="single" w:color="CCCCCC" w:sz="6"/>
            </w:tcBorders>
            <w:shd w:fill="1F4E79" w:color="auto" w:val="clear"/>
            <w:tcMar>
              <w:top w:type="dxa" w:w="100"/>
              <w:left w:type="dxa" w:w="140"/>
              <w:bottom w:type="dxa" w:w="100"/>
              <w:right w:type="dxa" w:w="140"/>
            </w:tcMar>
          </w:tcPr>
          <w:p>
            <w:pPr>
              <w:jc w:val="left"/>
            </w:pPr>
            <w:r>
              <w:rPr>
                <w:b/>
                <w:bCs/>
                <w:color w:val="FFFFFF"/>
              </w:rPr>
              <w:t xml:space="preserve">Persona</w:t>
            </w:r>
          </w:p>
        </w:tc>
        <w:tc>
          <w:tcPr>
            <w:tcW w:type="dxa" w:w="3120"/>
            <w:tcBorders>
              <w:top w:val="single" w:color="CCCCCC" w:sz="6"/>
              <w:left w:val="single" w:color="CCCCCC" w:sz="6"/>
              <w:bottom w:val="single" w:color="CCCCCC" w:sz="6"/>
              <w:right w:val="single" w:color="CCCCCC" w:sz="6"/>
            </w:tcBorders>
            <w:shd w:fill="1F4E79" w:color="auto" w:val="clear"/>
            <w:tcMar>
              <w:top w:type="dxa" w:w="100"/>
              <w:left w:type="dxa" w:w="140"/>
              <w:bottom w:type="dxa" w:w="100"/>
              <w:right w:type="dxa" w:w="140"/>
            </w:tcMar>
          </w:tcPr>
          <w:p>
            <w:pPr>
              <w:jc w:val="left"/>
            </w:pPr>
            <w:r>
              <w:rPr>
                <w:b/>
                <w:bCs/>
                <w:color w:val="FFFFFF"/>
              </w:rPr>
              <w:t xml:space="preserve">Profile</w:t>
            </w:r>
          </w:p>
        </w:tc>
        <w:tc>
          <w:tcPr>
            <w:tcW w:type="dxa" w:w="4440"/>
            <w:tcBorders>
              <w:top w:val="single" w:color="CCCCCC" w:sz="6"/>
              <w:left w:val="single" w:color="CCCCCC" w:sz="6"/>
              <w:bottom w:val="single" w:color="CCCCCC" w:sz="6"/>
              <w:right w:val="single" w:color="CCCCCC" w:sz="6"/>
            </w:tcBorders>
            <w:shd w:fill="1F4E79" w:color="auto" w:val="clear"/>
            <w:tcMar>
              <w:top w:type="dxa" w:w="100"/>
              <w:left w:type="dxa" w:w="140"/>
              <w:bottom w:type="dxa" w:w="100"/>
              <w:right w:type="dxa" w:w="140"/>
            </w:tcMar>
          </w:tcPr>
          <w:p>
            <w:pPr>
              <w:jc w:val="left"/>
            </w:pPr>
            <w:r>
              <w:rPr>
                <w:b/>
                <w:bCs/>
                <w:color w:val="FFFFFF"/>
              </w:rPr>
              <w:t xml:space="preserve">Key needs</w:t>
            </w:r>
          </w:p>
        </w:tc>
      </w:tr>
      <w:tr>
        <w:tc>
          <w:tcPr>
            <w:tcW w:type="dxa" w:w="18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rPr>
              <w:t xml:space="preserve">Urban young adult</w:t>
            </w:r>
          </w:p>
        </w:tc>
        <w:tc>
          <w:tcPr>
            <w:tcW w:type="dxa" w:w="312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rPr>
              <w:t xml:space="preserve">18–35, Serekunda / KMC / Banjul, smartphone, data‑conscious</w:t>
            </w:r>
          </w:p>
        </w:tc>
        <w:tc>
          <w:tcPr>
            <w:tcW w:type="dxa" w:w="444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rPr>
              <w:t xml:space="preserve">Affordable phones, laptops, clothing, furniture; trustworthy sellers</w:t>
            </w:r>
          </w:p>
        </w:tc>
      </w:tr>
      <w:tr>
        <w:tc>
          <w:tcPr>
            <w:tcW w:type="dxa" w:w="1800"/>
            <w:tcBorders>
              <w:top w:val="single" w:color="CCCCCC" w:sz="6"/>
              <w:left w:val="single" w:color="CCCCCC" w:sz="6"/>
              <w:bottom w:val="single" w:color="CCCCCC" w:sz="6"/>
              <w:right w:val="single" w:color="CCCCCC" w:sz="6"/>
            </w:tcBorders>
            <w:shd w:fill="F2F2F2" w:color="auto" w:val="clear"/>
            <w:tcMar>
              <w:top w:type="dxa" w:w="100"/>
              <w:left w:type="dxa" w:w="140"/>
              <w:bottom w:type="dxa" w:w="100"/>
              <w:right w:type="dxa" w:w="140"/>
            </w:tcMar>
          </w:tcPr>
          <w:p>
            <w:pPr>
              <w:jc w:val="left"/>
            </w:pPr>
            <w:r>
              <w:rPr>
                <w:b w:val="false"/>
                <w:bCs w:val="false"/>
              </w:rPr>
              <w:t xml:space="preserve">Family household</w:t>
            </w:r>
          </w:p>
        </w:tc>
        <w:tc>
          <w:tcPr>
            <w:tcW w:type="dxa" w:w="3120"/>
            <w:tcBorders>
              <w:top w:val="single" w:color="CCCCCC" w:sz="6"/>
              <w:left w:val="single" w:color="CCCCCC" w:sz="6"/>
              <w:bottom w:val="single" w:color="CCCCCC" w:sz="6"/>
              <w:right w:val="single" w:color="CCCCCC" w:sz="6"/>
            </w:tcBorders>
            <w:shd w:fill="F2F2F2" w:color="auto" w:val="clear"/>
            <w:tcMar>
              <w:top w:type="dxa" w:w="100"/>
              <w:left w:type="dxa" w:w="140"/>
              <w:bottom w:type="dxa" w:w="100"/>
              <w:right w:type="dxa" w:w="140"/>
            </w:tcMar>
          </w:tcPr>
          <w:p>
            <w:pPr>
              <w:jc w:val="left"/>
            </w:pPr>
            <w:r>
              <w:rPr>
                <w:b w:val="false"/>
                <w:bCs w:val="false"/>
              </w:rPr>
              <w:t xml:space="preserve">Parents 30–55, middle income</w:t>
            </w:r>
          </w:p>
        </w:tc>
        <w:tc>
          <w:tcPr>
            <w:tcW w:type="dxa" w:w="4440"/>
            <w:tcBorders>
              <w:top w:val="single" w:color="CCCCCC" w:sz="6"/>
              <w:left w:val="single" w:color="CCCCCC" w:sz="6"/>
              <w:bottom w:val="single" w:color="CCCCCC" w:sz="6"/>
              <w:right w:val="single" w:color="CCCCCC" w:sz="6"/>
            </w:tcBorders>
            <w:shd w:fill="F2F2F2" w:color="auto" w:val="clear"/>
            <w:tcMar>
              <w:top w:type="dxa" w:w="100"/>
              <w:left w:type="dxa" w:w="140"/>
              <w:bottom w:type="dxa" w:w="100"/>
              <w:right w:type="dxa" w:w="140"/>
            </w:tcMar>
          </w:tcPr>
          <w:p>
            <w:pPr>
              <w:jc w:val="left"/>
            </w:pPr>
            <w:r>
              <w:rPr>
                <w:b w:val="false"/>
                <w:bCs w:val="false"/>
              </w:rPr>
              <w:t xml:space="preserve">Kids’ items, home appliances, second‑hand furniture, school supplies</w:t>
            </w:r>
          </w:p>
        </w:tc>
      </w:tr>
      <w:tr>
        <w:tc>
          <w:tcPr>
            <w:tcW w:type="dxa" w:w="18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rPr>
              <w:t xml:space="preserve">Small business owner</w:t>
            </w:r>
          </w:p>
        </w:tc>
        <w:tc>
          <w:tcPr>
            <w:tcW w:type="dxa" w:w="312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rPr>
              <w:t xml:space="preserve">Shops, restaurants, taxi operators</w:t>
            </w:r>
          </w:p>
        </w:tc>
        <w:tc>
          <w:tcPr>
            <w:tcW w:type="dxa" w:w="444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rPr>
              <w:t xml:space="preserve">Equipment, vehicles, bulk supplies, hiring staff</w:t>
            </w:r>
          </w:p>
        </w:tc>
      </w:tr>
      <w:tr>
        <w:tc>
          <w:tcPr>
            <w:tcW w:type="dxa" w:w="1800"/>
            <w:tcBorders>
              <w:top w:val="single" w:color="CCCCCC" w:sz="6"/>
              <w:left w:val="single" w:color="CCCCCC" w:sz="6"/>
              <w:bottom w:val="single" w:color="CCCCCC" w:sz="6"/>
              <w:right w:val="single" w:color="CCCCCC" w:sz="6"/>
            </w:tcBorders>
            <w:shd w:fill="F2F2F2" w:color="auto" w:val="clear"/>
            <w:tcMar>
              <w:top w:type="dxa" w:w="100"/>
              <w:left w:type="dxa" w:w="140"/>
              <w:bottom w:type="dxa" w:w="100"/>
              <w:right w:type="dxa" w:w="140"/>
            </w:tcMar>
          </w:tcPr>
          <w:p>
            <w:pPr>
              <w:jc w:val="left"/>
            </w:pPr>
            <w:r>
              <w:rPr>
                <w:b w:val="false"/>
                <w:bCs w:val="false"/>
              </w:rPr>
              <w:t xml:space="preserve">Diaspora buyer</w:t>
            </w:r>
          </w:p>
        </w:tc>
        <w:tc>
          <w:tcPr>
            <w:tcW w:type="dxa" w:w="3120"/>
            <w:tcBorders>
              <w:top w:val="single" w:color="CCCCCC" w:sz="6"/>
              <w:left w:val="single" w:color="CCCCCC" w:sz="6"/>
              <w:bottom w:val="single" w:color="CCCCCC" w:sz="6"/>
              <w:right w:val="single" w:color="CCCCCC" w:sz="6"/>
            </w:tcBorders>
            <w:shd w:fill="F2F2F2" w:color="auto" w:val="clear"/>
            <w:tcMar>
              <w:top w:type="dxa" w:w="100"/>
              <w:left w:type="dxa" w:w="140"/>
              <w:bottom w:type="dxa" w:w="100"/>
              <w:right w:type="dxa" w:w="140"/>
            </w:tcMar>
          </w:tcPr>
          <w:p>
            <w:pPr>
              <w:jc w:val="left"/>
            </w:pPr>
            <w:r>
              <w:rPr>
                <w:b w:val="false"/>
                <w:bCs w:val="false"/>
              </w:rPr>
              <w:t xml:space="preserve">Gambians abroad buying for family back home</w:t>
            </w:r>
          </w:p>
        </w:tc>
        <w:tc>
          <w:tcPr>
            <w:tcW w:type="dxa" w:w="4440"/>
            <w:tcBorders>
              <w:top w:val="single" w:color="CCCCCC" w:sz="6"/>
              <w:left w:val="single" w:color="CCCCCC" w:sz="6"/>
              <w:bottom w:val="single" w:color="CCCCCC" w:sz="6"/>
              <w:right w:val="single" w:color="CCCCCC" w:sz="6"/>
            </w:tcBorders>
            <w:shd w:fill="F2F2F2" w:color="auto" w:val="clear"/>
            <w:tcMar>
              <w:top w:type="dxa" w:w="100"/>
              <w:left w:type="dxa" w:w="140"/>
              <w:bottom w:type="dxa" w:w="100"/>
              <w:right w:type="dxa" w:w="140"/>
            </w:tcMar>
          </w:tcPr>
          <w:p>
            <w:pPr>
              <w:jc w:val="left"/>
            </w:pPr>
            <w:r>
              <w:rPr>
                <w:b w:val="false"/>
                <w:bCs w:val="false"/>
              </w:rPr>
              <w:t xml:space="preserve">Verified sellers, delivery options, secure payment</w:t>
            </w:r>
          </w:p>
        </w:tc>
      </w:tr>
      <w:tr>
        <w:tc>
          <w:tcPr>
            <w:tcW w:type="dxa" w:w="18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rPr>
              <w:t xml:space="preserve">Expats &amp; NGO workers</w:t>
            </w:r>
          </w:p>
        </w:tc>
        <w:tc>
          <w:tcPr>
            <w:tcW w:type="dxa" w:w="312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rPr>
              <w:t xml:space="preserve">Short stays, furnished housing</w:t>
            </w:r>
          </w:p>
        </w:tc>
        <w:tc>
          <w:tcPr>
            <w:tcW w:type="dxa" w:w="444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rPr>
              <w:t xml:space="preserve">Rentals, furniture, cars, services</w:t>
            </w:r>
          </w:p>
        </w:tc>
      </w:tr>
    </w:tbl>
    <w:p>
      <w:pPr>
        <w:pStyle w:val="Heading2"/>
      </w:pPr>
      <w:r>
        <w:t xml:space="preserve">3.2 Seller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120"/>
        <w:gridCol w:w="4440"/>
      </w:tblGrid>
      <w:tr>
        <w:trPr>
          <w:tblHeader/>
        </w:trPr>
        <w:tc>
          <w:tcPr>
            <w:tcW w:type="dxa" w:w="1800"/>
            <w:tcBorders>
              <w:top w:val="single" w:color="CCCCCC" w:sz="6"/>
              <w:left w:val="single" w:color="CCCCCC" w:sz="6"/>
              <w:bottom w:val="single" w:color="CCCCCC" w:sz="6"/>
              <w:right w:val="single" w:color="CCCCCC" w:sz="6"/>
            </w:tcBorders>
            <w:shd w:fill="1F4E79" w:color="auto" w:val="clear"/>
            <w:tcMar>
              <w:top w:type="dxa" w:w="100"/>
              <w:left w:type="dxa" w:w="140"/>
              <w:bottom w:type="dxa" w:w="100"/>
              <w:right w:type="dxa" w:w="140"/>
            </w:tcMar>
          </w:tcPr>
          <w:p>
            <w:pPr>
              <w:jc w:val="left"/>
            </w:pPr>
            <w:r>
              <w:rPr>
                <w:b/>
                <w:bCs/>
                <w:color w:val="FFFFFF"/>
              </w:rPr>
              <w:t xml:space="preserve">Persona</w:t>
            </w:r>
          </w:p>
        </w:tc>
        <w:tc>
          <w:tcPr>
            <w:tcW w:type="dxa" w:w="3120"/>
            <w:tcBorders>
              <w:top w:val="single" w:color="CCCCCC" w:sz="6"/>
              <w:left w:val="single" w:color="CCCCCC" w:sz="6"/>
              <w:bottom w:val="single" w:color="CCCCCC" w:sz="6"/>
              <w:right w:val="single" w:color="CCCCCC" w:sz="6"/>
            </w:tcBorders>
            <w:shd w:fill="1F4E79" w:color="auto" w:val="clear"/>
            <w:tcMar>
              <w:top w:type="dxa" w:w="100"/>
              <w:left w:type="dxa" w:w="140"/>
              <w:bottom w:type="dxa" w:w="100"/>
              <w:right w:type="dxa" w:w="140"/>
            </w:tcMar>
          </w:tcPr>
          <w:p>
            <w:pPr>
              <w:jc w:val="left"/>
            </w:pPr>
            <w:r>
              <w:rPr>
                <w:b/>
                <w:bCs/>
                <w:color w:val="FFFFFF"/>
              </w:rPr>
              <w:t xml:space="preserve">Profile</w:t>
            </w:r>
          </w:p>
        </w:tc>
        <w:tc>
          <w:tcPr>
            <w:tcW w:type="dxa" w:w="4440"/>
            <w:tcBorders>
              <w:top w:val="single" w:color="CCCCCC" w:sz="6"/>
              <w:left w:val="single" w:color="CCCCCC" w:sz="6"/>
              <w:bottom w:val="single" w:color="CCCCCC" w:sz="6"/>
              <w:right w:val="single" w:color="CCCCCC" w:sz="6"/>
            </w:tcBorders>
            <w:shd w:fill="1F4E79" w:color="auto" w:val="clear"/>
            <w:tcMar>
              <w:top w:type="dxa" w:w="100"/>
              <w:left w:type="dxa" w:w="140"/>
              <w:bottom w:type="dxa" w:w="100"/>
              <w:right w:type="dxa" w:w="140"/>
            </w:tcMar>
          </w:tcPr>
          <w:p>
            <w:pPr>
              <w:jc w:val="left"/>
            </w:pPr>
            <w:r>
              <w:rPr>
                <w:b/>
                <w:bCs/>
                <w:color w:val="FFFFFF"/>
              </w:rPr>
              <w:t xml:space="preserve">Key needs</w:t>
            </w:r>
          </w:p>
        </w:tc>
      </w:tr>
      <w:tr>
        <w:tc>
          <w:tcPr>
            <w:tcW w:type="dxa" w:w="18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rPr>
              <w:t xml:space="preserve">Occasional seller</w:t>
            </w:r>
          </w:p>
        </w:tc>
        <w:tc>
          <w:tcPr>
            <w:tcW w:type="dxa" w:w="312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rPr>
              <w:t xml:space="preserve">Selling 1–5 items per year</w:t>
            </w:r>
          </w:p>
        </w:tc>
        <w:tc>
          <w:tcPr>
            <w:tcW w:type="dxa" w:w="444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rPr>
              <w:t xml:space="preserve">Free, fast, simple listing on mobile</w:t>
            </w:r>
          </w:p>
        </w:tc>
      </w:tr>
      <w:tr>
        <w:tc>
          <w:tcPr>
            <w:tcW w:type="dxa" w:w="1800"/>
            <w:tcBorders>
              <w:top w:val="single" w:color="CCCCCC" w:sz="6"/>
              <w:left w:val="single" w:color="CCCCCC" w:sz="6"/>
              <w:bottom w:val="single" w:color="CCCCCC" w:sz="6"/>
              <w:right w:val="single" w:color="CCCCCC" w:sz="6"/>
            </w:tcBorders>
            <w:shd w:fill="F2F2F2" w:color="auto" w:val="clear"/>
            <w:tcMar>
              <w:top w:type="dxa" w:w="100"/>
              <w:left w:type="dxa" w:w="140"/>
              <w:bottom w:type="dxa" w:w="100"/>
              <w:right w:type="dxa" w:w="140"/>
            </w:tcMar>
          </w:tcPr>
          <w:p>
            <w:pPr>
              <w:jc w:val="left"/>
            </w:pPr>
            <w:r>
              <w:rPr>
                <w:b w:val="false"/>
                <w:bCs w:val="false"/>
              </w:rPr>
              <w:t xml:space="preserve">Power seller</w:t>
            </w:r>
          </w:p>
        </w:tc>
        <w:tc>
          <w:tcPr>
            <w:tcW w:type="dxa" w:w="3120"/>
            <w:tcBorders>
              <w:top w:val="single" w:color="CCCCCC" w:sz="6"/>
              <w:left w:val="single" w:color="CCCCCC" w:sz="6"/>
              <w:bottom w:val="single" w:color="CCCCCC" w:sz="6"/>
              <w:right w:val="single" w:color="CCCCCC" w:sz="6"/>
            </w:tcBorders>
            <w:shd w:fill="F2F2F2" w:color="auto" w:val="clear"/>
            <w:tcMar>
              <w:top w:type="dxa" w:w="100"/>
              <w:left w:type="dxa" w:w="140"/>
              <w:bottom w:type="dxa" w:w="100"/>
              <w:right w:type="dxa" w:w="140"/>
            </w:tcMar>
          </w:tcPr>
          <w:p>
            <w:pPr>
              <w:jc w:val="left"/>
            </w:pPr>
            <w:r>
              <w:rPr>
                <w:b w:val="false"/>
                <w:bCs w:val="false"/>
              </w:rPr>
              <w:t xml:space="preserve">Resellers, small traders</w:t>
            </w:r>
          </w:p>
        </w:tc>
        <w:tc>
          <w:tcPr>
            <w:tcW w:type="dxa" w:w="4440"/>
            <w:tcBorders>
              <w:top w:val="single" w:color="CCCCCC" w:sz="6"/>
              <w:left w:val="single" w:color="CCCCCC" w:sz="6"/>
              <w:bottom w:val="single" w:color="CCCCCC" w:sz="6"/>
              <w:right w:val="single" w:color="CCCCCC" w:sz="6"/>
            </w:tcBorders>
            <w:shd w:fill="F2F2F2" w:color="auto" w:val="clear"/>
            <w:tcMar>
              <w:top w:type="dxa" w:w="100"/>
              <w:left w:type="dxa" w:w="140"/>
              <w:bottom w:type="dxa" w:w="100"/>
              <w:right w:type="dxa" w:w="140"/>
            </w:tcMar>
          </w:tcPr>
          <w:p>
            <w:pPr>
              <w:jc w:val="left"/>
            </w:pPr>
            <w:r>
              <w:rPr>
                <w:b w:val="false"/>
                <w:bCs w:val="false"/>
              </w:rPr>
              <w:t xml:space="preserve">Multiple active ads, easy renewal, top‑placement</w:t>
            </w:r>
          </w:p>
        </w:tc>
      </w:tr>
      <w:tr>
        <w:tc>
          <w:tcPr>
            <w:tcW w:type="dxa" w:w="18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rPr>
              <w:t xml:space="preserve">Auto dealer</w:t>
            </w:r>
          </w:p>
        </w:tc>
        <w:tc>
          <w:tcPr>
            <w:tcW w:type="dxa" w:w="312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rPr>
              <w:t xml:space="preserve">Used car importers (huge category)</w:t>
            </w:r>
          </w:p>
        </w:tc>
        <w:tc>
          <w:tcPr>
            <w:tcW w:type="dxa" w:w="444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rPr>
              <w:t xml:space="preserve">Dealer page, dozens of listings, lead management</w:t>
            </w:r>
          </w:p>
        </w:tc>
      </w:tr>
      <w:tr>
        <w:tc>
          <w:tcPr>
            <w:tcW w:type="dxa" w:w="1800"/>
            <w:tcBorders>
              <w:top w:val="single" w:color="CCCCCC" w:sz="6"/>
              <w:left w:val="single" w:color="CCCCCC" w:sz="6"/>
              <w:bottom w:val="single" w:color="CCCCCC" w:sz="6"/>
              <w:right w:val="single" w:color="CCCCCC" w:sz="6"/>
            </w:tcBorders>
            <w:shd w:fill="F2F2F2" w:color="auto" w:val="clear"/>
            <w:tcMar>
              <w:top w:type="dxa" w:w="100"/>
              <w:left w:type="dxa" w:w="140"/>
              <w:bottom w:type="dxa" w:w="100"/>
              <w:right w:type="dxa" w:w="140"/>
            </w:tcMar>
          </w:tcPr>
          <w:p>
            <w:pPr>
              <w:jc w:val="left"/>
            </w:pPr>
            <w:r>
              <w:rPr>
                <w:b w:val="false"/>
                <w:bCs w:val="false"/>
              </w:rPr>
              <w:t xml:space="preserve">Real estate agent</w:t>
            </w:r>
          </w:p>
        </w:tc>
        <w:tc>
          <w:tcPr>
            <w:tcW w:type="dxa" w:w="3120"/>
            <w:tcBorders>
              <w:top w:val="single" w:color="CCCCCC" w:sz="6"/>
              <w:left w:val="single" w:color="CCCCCC" w:sz="6"/>
              <w:bottom w:val="single" w:color="CCCCCC" w:sz="6"/>
              <w:right w:val="single" w:color="CCCCCC" w:sz="6"/>
            </w:tcBorders>
            <w:shd w:fill="F2F2F2" w:color="auto" w:val="clear"/>
            <w:tcMar>
              <w:top w:type="dxa" w:w="100"/>
              <w:left w:type="dxa" w:w="140"/>
              <w:bottom w:type="dxa" w:w="100"/>
              <w:right w:type="dxa" w:w="140"/>
            </w:tcMar>
          </w:tcPr>
          <w:p>
            <w:pPr>
              <w:jc w:val="left"/>
            </w:pPr>
            <w:r>
              <w:rPr>
                <w:b w:val="false"/>
                <w:bCs w:val="false"/>
              </w:rPr>
              <w:t xml:space="preserve">Rentals and sales</w:t>
            </w:r>
          </w:p>
        </w:tc>
        <w:tc>
          <w:tcPr>
            <w:tcW w:type="dxa" w:w="4440"/>
            <w:tcBorders>
              <w:top w:val="single" w:color="CCCCCC" w:sz="6"/>
              <w:left w:val="single" w:color="CCCCCC" w:sz="6"/>
              <w:bottom w:val="single" w:color="CCCCCC" w:sz="6"/>
              <w:right w:val="single" w:color="CCCCCC" w:sz="6"/>
            </w:tcBorders>
            <w:shd w:fill="F2F2F2" w:color="auto" w:val="clear"/>
            <w:tcMar>
              <w:top w:type="dxa" w:w="100"/>
              <w:left w:type="dxa" w:w="140"/>
              <w:bottom w:type="dxa" w:w="100"/>
              <w:right w:type="dxa" w:w="140"/>
            </w:tcMar>
          </w:tcPr>
          <w:p>
            <w:pPr>
              <w:jc w:val="left"/>
            </w:pPr>
            <w:r>
              <w:rPr>
                <w:b w:val="false"/>
                <w:bCs w:val="false"/>
              </w:rPr>
              <w:t xml:space="preserve">Map view, photo galleries, verified badge</w:t>
            </w:r>
          </w:p>
        </w:tc>
      </w:tr>
      <w:tr>
        <w:tc>
          <w:tcPr>
            <w:tcW w:type="dxa" w:w="18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rPr>
              <w:t xml:space="preserve">Service provider</w:t>
            </w:r>
          </w:p>
        </w:tc>
        <w:tc>
          <w:tcPr>
            <w:tcW w:type="dxa" w:w="312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rPr>
              <w:t xml:space="preserve">Tailors, plumbers, tutors, tour guides</w:t>
            </w:r>
          </w:p>
        </w:tc>
        <w:tc>
          <w:tcPr>
            <w:tcW w:type="dxa" w:w="444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rPr>
              <w:t xml:space="preserve">Profile page, WhatsApp contact, reviews</w:t>
            </w:r>
          </w:p>
        </w:tc>
      </w:tr>
    </w:tbl>
    <w:p>
      <w:r>
        <w:br w:type="page"/>
      </w:r>
    </w:p>
    <w:p>
      <w:pPr>
        <w:pStyle w:val="Heading1"/>
      </w:pPr>
      <w:r>
        <w:t xml:space="preserve">4. Product &amp; Categories</w:t>
      </w:r>
    </w:p>
    <w:p>
      <w:pPr>
        <w:pStyle w:val="Heading2"/>
      </w:pPr>
      <w:r>
        <w:t xml:space="preserve">4.1 Core categories (launch)</w:t>
      </w:r>
    </w:p>
    <w:p>
      <w:pPr>
        <w:spacing w:after="120"/>
      </w:pPr>
      <w:r>
        <w:t xml:space="preserve">Mirroring Marktplaats.nl structure, adapted to Gambian demand:</w:t>
      </w:r>
    </w:p>
    <w:p>
      <w:pPr>
        <w:pStyle w:val="ListParagraph"/>
        <w:numPr>
          <w:ilvl w:val="0"/>
          <w:numId w:val="2"/>
        </w:numPr>
        <w:spacing w:after="80"/>
      </w:pPr>
      <w:r>
        <w:t xml:space="preserve">Vehicles — Cars, motorbikes, taxis/commercial, parts.</w:t>
      </w:r>
    </w:p>
    <w:p>
      <w:pPr>
        <w:pStyle w:val="ListParagraph"/>
        <w:numPr>
          <w:ilvl w:val="0"/>
          <w:numId w:val="2"/>
        </w:numPr>
        <w:spacing w:after="80"/>
      </w:pPr>
      <w:r>
        <w:t xml:space="preserve">Property — For rent, for sale, land, rooms.</w:t>
      </w:r>
    </w:p>
    <w:p>
      <w:pPr>
        <w:pStyle w:val="ListParagraph"/>
        <w:numPr>
          <w:ilvl w:val="0"/>
          <w:numId w:val="2"/>
        </w:numPr>
        <w:spacing w:after="80"/>
      </w:pPr>
      <w:r>
        <w:t xml:space="preserve">Electronics — Phones, laptops, TVs, accessories.</w:t>
      </w:r>
    </w:p>
    <w:p>
      <w:pPr>
        <w:pStyle w:val="ListParagraph"/>
        <w:numPr>
          <w:ilvl w:val="0"/>
          <w:numId w:val="2"/>
        </w:numPr>
        <w:spacing w:after="80"/>
      </w:pPr>
      <w:r>
        <w:t xml:space="preserve">Home &amp; Furniture — Beds, sofas, appliances.</w:t>
      </w:r>
    </w:p>
    <w:p>
      <w:pPr>
        <w:pStyle w:val="ListParagraph"/>
        <w:numPr>
          <w:ilvl w:val="0"/>
          <w:numId w:val="2"/>
        </w:numPr>
        <w:spacing w:after="80"/>
      </w:pPr>
      <w:r>
        <w:t xml:space="preserve">Fashion &amp; Beauty — Clothes, shoes, bags, cosmetics.</w:t>
      </w:r>
    </w:p>
    <w:p>
      <w:pPr>
        <w:pStyle w:val="ListParagraph"/>
        <w:numPr>
          <w:ilvl w:val="0"/>
          <w:numId w:val="2"/>
        </w:numPr>
        <w:spacing w:after="80"/>
      </w:pPr>
      <w:r>
        <w:t xml:space="preserve">Jobs — Full‑time, part‑time, hospitality, NGO, domestic.</w:t>
      </w:r>
    </w:p>
    <w:p>
      <w:pPr>
        <w:pStyle w:val="ListParagraph"/>
        <w:numPr>
          <w:ilvl w:val="0"/>
          <w:numId w:val="2"/>
        </w:numPr>
        <w:spacing w:after="80"/>
      </w:pPr>
      <w:r>
        <w:t xml:space="preserve">Services — Trades, transport, events, tourism.</w:t>
      </w:r>
    </w:p>
    <w:p>
      <w:pPr>
        <w:pStyle w:val="ListParagraph"/>
        <w:numPr>
          <w:ilvl w:val="0"/>
          <w:numId w:val="2"/>
        </w:numPr>
        <w:spacing w:after="80"/>
      </w:pPr>
      <w:r>
        <w:t xml:space="preserve">Agriculture &amp; Livestock — Seeds, tools, goats, poultry, fish.</w:t>
      </w:r>
    </w:p>
    <w:p>
      <w:pPr>
        <w:pStyle w:val="ListParagraph"/>
        <w:numPr>
          <w:ilvl w:val="0"/>
          <w:numId w:val="2"/>
        </w:numPr>
        <w:spacing w:after="80"/>
      </w:pPr>
      <w:r>
        <w:t xml:space="preserve">Baby &amp; Kids — Clothing, toys, school items.</w:t>
      </w:r>
    </w:p>
    <w:p>
      <w:pPr>
        <w:pStyle w:val="ListParagraph"/>
        <w:numPr>
          <w:ilvl w:val="0"/>
          <w:numId w:val="2"/>
        </w:numPr>
        <w:spacing w:after="80"/>
      </w:pPr>
      <w:r>
        <w:t xml:space="preserve">Free stuff &amp; Bartering — Community trust builder.</w:t>
      </w:r>
    </w:p>
    <w:p>
      <w:pPr>
        <w:pStyle w:val="Heading2"/>
      </w:pPr>
      <w:r>
        <w:t xml:space="preserve">4.2 Core features (MVP)</w:t>
      </w:r>
    </w:p>
    <w:p>
      <w:pPr>
        <w:pStyle w:val="ListParagraph"/>
        <w:numPr>
          <w:ilvl w:val="0"/>
          <w:numId w:val="2"/>
        </w:numPr>
        <w:spacing w:after="80"/>
      </w:pPr>
      <w:r>
        <w:t xml:space="preserve">Post an ad in under 60 seconds from a phone (title, price, 1–8 photos, location, category).</w:t>
      </w:r>
    </w:p>
    <w:p>
      <w:pPr>
        <w:pStyle w:val="ListParagraph"/>
        <w:numPr>
          <w:ilvl w:val="0"/>
          <w:numId w:val="2"/>
        </w:numPr>
        <w:spacing w:after="80"/>
      </w:pPr>
      <w:r>
        <w:t xml:space="preserve">Search and filter by category, location (divisions / towns), price, condition.</w:t>
      </w:r>
    </w:p>
    <w:p>
      <w:pPr>
        <w:pStyle w:val="ListParagraph"/>
        <w:numPr>
          <w:ilvl w:val="0"/>
          <w:numId w:val="2"/>
        </w:numPr>
        <w:spacing w:after="80"/>
      </w:pPr>
      <w:r>
        <w:t xml:space="preserve">Map view for property and services.</w:t>
      </w:r>
    </w:p>
    <w:p>
      <w:pPr>
        <w:pStyle w:val="ListParagraph"/>
        <w:numPr>
          <w:ilvl w:val="0"/>
          <w:numId w:val="2"/>
        </w:numPr>
        <w:spacing w:after="80"/>
      </w:pPr>
      <w:r>
        <w:t xml:space="preserve">Contact seller via in‑app chat or one‑tap WhatsApp link.</w:t>
      </w:r>
    </w:p>
    <w:p>
      <w:pPr>
        <w:pStyle w:val="ListParagraph"/>
        <w:numPr>
          <w:ilvl w:val="0"/>
          <w:numId w:val="2"/>
        </w:numPr>
        <w:spacing w:after="80"/>
      </w:pPr>
      <w:r>
        <w:t xml:space="preserve">Favorites, saved searches, price alerts.</w:t>
      </w:r>
    </w:p>
    <w:p>
      <w:pPr>
        <w:pStyle w:val="ListParagraph"/>
        <w:numPr>
          <w:ilvl w:val="0"/>
          <w:numId w:val="2"/>
        </w:numPr>
        <w:spacing w:after="80"/>
      </w:pPr>
      <w:r>
        <w:t xml:space="preserve">Seller profile with ratings and reviews.</w:t>
      </w:r>
    </w:p>
    <w:p>
      <w:pPr>
        <w:pStyle w:val="ListParagraph"/>
        <w:numPr>
          <w:ilvl w:val="0"/>
          <w:numId w:val="2"/>
        </w:numPr>
        <w:spacing w:after="80"/>
      </w:pPr>
      <w:r>
        <w:t xml:space="preserve">Multilingual UI: English, Mandinka, Wolof, Fula.</w:t>
      </w:r>
    </w:p>
    <w:p>
      <w:pPr>
        <w:pStyle w:val="ListParagraph"/>
        <w:numPr>
          <w:ilvl w:val="0"/>
          <w:numId w:val="2"/>
        </w:numPr>
        <w:spacing w:after="80"/>
      </w:pPr>
      <w:r>
        <w:t xml:space="preserve">Lightweight web version for 2G/3G devices and PWA for offline saves.</w:t>
      </w:r>
    </w:p>
    <w:p>
      <w:pPr>
        <w:pStyle w:val="ListParagraph"/>
        <w:numPr>
          <w:ilvl w:val="0"/>
          <w:numId w:val="2"/>
        </w:numPr>
        <w:spacing w:after="80"/>
      </w:pPr>
      <w:r>
        <w:t xml:space="preserve">Admin moderation tools and report‑an‑ad flow.</w:t>
      </w:r>
    </w:p>
    <w:p>
      <w:pPr>
        <w:pStyle w:val="Heading2"/>
      </w:pPr>
      <w:r>
        <w:t xml:space="preserve">4.3 Phase 2 features</w:t>
      </w:r>
    </w:p>
    <w:p>
      <w:pPr>
        <w:pStyle w:val="ListParagraph"/>
        <w:numPr>
          <w:ilvl w:val="0"/>
          <w:numId w:val="2"/>
        </w:numPr>
        <w:spacing w:after="80"/>
      </w:pPr>
      <w:r>
        <w:t xml:space="preserve">Verified ID badge using national ID + selfie check.</w:t>
      </w:r>
    </w:p>
    <w:p>
      <w:pPr>
        <w:pStyle w:val="ListParagraph"/>
        <w:numPr>
          <w:ilvl w:val="0"/>
          <w:numId w:val="2"/>
        </w:numPr>
        <w:spacing w:after="80"/>
      </w:pPr>
      <w:r>
        <w:t xml:space="preserve">Mobile money checkout (Africell Money, GamPay, Wave) for promoted listings.</w:t>
      </w:r>
    </w:p>
    <w:p>
      <w:pPr>
        <w:pStyle w:val="ListParagraph"/>
        <w:numPr>
          <w:ilvl w:val="0"/>
          <w:numId w:val="2"/>
        </w:numPr>
        <w:spacing w:after="80"/>
      </w:pPr>
      <w:r>
        <w:t xml:space="preserve">Escrow “Safe Pay” for high‑value transactions.</w:t>
      </w:r>
    </w:p>
    <w:p>
      <w:pPr>
        <w:pStyle w:val="ListParagraph"/>
        <w:numPr>
          <w:ilvl w:val="0"/>
          <w:numId w:val="2"/>
        </w:numPr>
        <w:spacing w:after="80"/>
      </w:pPr>
      <w:r>
        <w:t xml:space="preserve">Dealer / business pages with branded storefronts.</w:t>
      </w:r>
    </w:p>
    <w:p>
      <w:pPr>
        <w:pStyle w:val="ListParagraph"/>
        <w:numPr>
          <w:ilvl w:val="0"/>
          <w:numId w:val="2"/>
        </w:numPr>
        <w:spacing w:after="80"/>
      </w:pPr>
      <w:r>
        <w:t xml:space="preserve">Delivery integration with local couriers.</w:t>
      </w:r>
    </w:p>
    <w:p>
      <w:pPr>
        <w:pStyle w:val="ListParagraph"/>
        <w:numPr>
          <w:ilvl w:val="0"/>
          <w:numId w:val="2"/>
        </w:numPr>
        <w:spacing w:after="80"/>
      </w:pPr>
      <w:r>
        <w:t xml:space="preserve">USSD ad posting for non‑smartphone users.</w:t>
      </w:r>
    </w:p>
    <w:p>
      <w:pPr>
        <w:pStyle w:val="ListParagraph"/>
        <w:numPr>
          <w:ilvl w:val="0"/>
          <w:numId w:val="2"/>
        </w:numPr>
        <w:spacing w:after="80"/>
      </w:pPr>
      <w:r>
        <w:t xml:space="preserve">Diaspora mode: browse in GMD/EUR/USD, pay abroad, deliver in Gambia.</w:t>
      </w:r>
    </w:p>
    <w:p>
      <w:r>
        <w:br w:type="page"/>
      </w:r>
    </w:p>
    <w:p>
      <w:pPr>
        <w:pStyle w:val="Heading1"/>
      </w:pPr>
      <w:r>
        <w:t xml:space="preserve">5. Localization Strategy</w:t>
      </w:r>
    </w:p>
    <w:p>
      <w:pPr>
        <w:spacing w:after="120"/>
      </w:pPr>
      <w:r>
        <w:t xml:space="preserve">English is the official language of The Gambia and the default UI language. Mandinka, Wolof and Fula are the most widely spoken local languages. Localization is not only translation — it also covers units, currency format, phone number formats and cultural framing.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200"/>
        <w:gridCol w:w="4000"/>
      </w:tblGrid>
      <w:tr>
        <w:trPr>
          <w:tblHeader/>
        </w:trPr>
        <w:tc>
          <w:tcPr>
            <w:tcW w:type="dxa" w:w="2160"/>
            <w:tcBorders>
              <w:top w:val="single" w:color="CCCCCC" w:sz="6"/>
              <w:left w:val="single" w:color="CCCCCC" w:sz="6"/>
              <w:bottom w:val="single" w:color="CCCCCC" w:sz="6"/>
              <w:right w:val="single" w:color="CCCCCC" w:sz="6"/>
            </w:tcBorders>
            <w:shd w:fill="1F4E79" w:color="auto" w:val="clear"/>
            <w:tcMar>
              <w:top w:type="dxa" w:w="100"/>
              <w:left w:type="dxa" w:w="140"/>
              <w:bottom w:type="dxa" w:w="100"/>
              <w:right w:type="dxa" w:w="140"/>
            </w:tcMar>
          </w:tcPr>
          <w:p>
            <w:pPr>
              <w:jc w:val="left"/>
            </w:pPr>
            <w:r>
              <w:rPr>
                <w:b/>
                <w:bCs/>
                <w:color w:val="FFFFFF"/>
              </w:rPr>
              <w:t xml:space="preserve">Language</w:t>
            </w:r>
          </w:p>
        </w:tc>
        <w:tc>
          <w:tcPr>
            <w:tcW w:type="dxa" w:w="3200"/>
            <w:tcBorders>
              <w:top w:val="single" w:color="CCCCCC" w:sz="6"/>
              <w:left w:val="single" w:color="CCCCCC" w:sz="6"/>
              <w:bottom w:val="single" w:color="CCCCCC" w:sz="6"/>
              <w:right w:val="single" w:color="CCCCCC" w:sz="6"/>
            </w:tcBorders>
            <w:shd w:fill="1F4E79" w:color="auto" w:val="clear"/>
            <w:tcMar>
              <w:top w:type="dxa" w:w="100"/>
              <w:left w:type="dxa" w:w="140"/>
              <w:bottom w:type="dxa" w:w="100"/>
              <w:right w:type="dxa" w:w="140"/>
            </w:tcMar>
          </w:tcPr>
          <w:p>
            <w:pPr>
              <w:jc w:val="left"/>
            </w:pPr>
            <w:r>
              <w:rPr>
                <w:b/>
                <w:bCs/>
                <w:color w:val="FFFFFF"/>
              </w:rPr>
              <w:t xml:space="preserve">% of population (approx.)</w:t>
            </w:r>
          </w:p>
        </w:tc>
        <w:tc>
          <w:tcPr>
            <w:tcW w:type="dxa" w:w="4000"/>
            <w:tcBorders>
              <w:top w:val="single" w:color="CCCCCC" w:sz="6"/>
              <w:left w:val="single" w:color="CCCCCC" w:sz="6"/>
              <w:bottom w:val="single" w:color="CCCCCC" w:sz="6"/>
              <w:right w:val="single" w:color="CCCCCC" w:sz="6"/>
            </w:tcBorders>
            <w:shd w:fill="1F4E79" w:color="auto" w:val="clear"/>
            <w:tcMar>
              <w:top w:type="dxa" w:w="100"/>
              <w:left w:type="dxa" w:w="140"/>
              <w:bottom w:type="dxa" w:w="100"/>
              <w:right w:type="dxa" w:w="140"/>
            </w:tcMar>
          </w:tcPr>
          <w:p>
            <w:pPr>
              <w:jc w:val="left"/>
            </w:pPr>
            <w:r>
              <w:rPr>
                <w:b/>
                <w:bCs/>
                <w:color w:val="FFFFFF"/>
              </w:rPr>
              <w:t xml:space="preserve">Role in Marketplace.gm</w:t>
            </w:r>
          </w:p>
        </w:tc>
      </w:tr>
      <w:tr>
        <w:tc>
          <w:tcPr>
            <w:tcW w:type="dxa" w:w="21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rPr>
              <w:t xml:space="preserve">English</w:t>
            </w:r>
          </w:p>
        </w:tc>
        <w:tc>
          <w:tcPr>
            <w:tcW w:type="dxa" w:w="32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rPr>
              <w:t xml:space="preserve">Official, ~50% fluent</w:t>
            </w:r>
          </w:p>
        </w:tc>
        <w:tc>
          <w:tcPr>
            <w:tcW w:type="dxa" w:w="40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rPr>
              <w:t xml:space="preserve">Default UI, all legal and help content</w:t>
            </w:r>
          </w:p>
        </w:tc>
      </w:tr>
      <w:tr>
        <w:tc>
          <w:tcPr>
            <w:tcW w:type="dxa" w:w="2160"/>
            <w:tcBorders>
              <w:top w:val="single" w:color="CCCCCC" w:sz="6"/>
              <w:left w:val="single" w:color="CCCCCC" w:sz="6"/>
              <w:bottom w:val="single" w:color="CCCCCC" w:sz="6"/>
              <w:right w:val="single" w:color="CCCCCC" w:sz="6"/>
            </w:tcBorders>
            <w:shd w:fill="F2F2F2" w:color="auto" w:val="clear"/>
            <w:tcMar>
              <w:top w:type="dxa" w:w="100"/>
              <w:left w:type="dxa" w:w="140"/>
              <w:bottom w:type="dxa" w:w="100"/>
              <w:right w:type="dxa" w:w="140"/>
            </w:tcMar>
          </w:tcPr>
          <w:p>
            <w:pPr>
              <w:jc w:val="left"/>
            </w:pPr>
            <w:r>
              <w:rPr>
                <w:b w:val="false"/>
                <w:bCs w:val="false"/>
              </w:rPr>
              <w:t xml:space="preserve">Mandinka</w:t>
            </w:r>
          </w:p>
        </w:tc>
        <w:tc>
          <w:tcPr>
            <w:tcW w:type="dxa" w:w="3200"/>
            <w:tcBorders>
              <w:top w:val="single" w:color="CCCCCC" w:sz="6"/>
              <w:left w:val="single" w:color="CCCCCC" w:sz="6"/>
              <w:bottom w:val="single" w:color="CCCCCC" w:sz="6"/>
              <w:right w:val="single" w:color="CCCCCC" w:sz="6"/>
            </w:tcBorders>
            <w:shd w:fill="F2F2F2" w:color="auto" w:val="clear"/>
            <w:tcMar>
              <w:top w:type="dxa" w:w="100"/>
              <w:left w:type="dxa" w:w="140"/>
              <w:bottom w:type="dxa" w:w="100"/>
              <w:right w:type="dxa" w:w="140"/>
            </w:tcMar>
          </w:tcPr>
          <w:p>
            <w:pPr>
              <w:jc w:val="left"/>
            </w:pPr>
            <w:r>
              <w:rPr>
                <w:b w:val="false"/>
                <w:bCs w:val="false"/>
              </w:rPr>
              <w:t xml:space="preserve">~38% first language</w:t>
            </w:r>
          </w:p>
        </w:tc>
        <w:tc>
          <w:tcPr>
            <w:tcW w:type="dxa" w:w="4000"/>
            <w:tcBorders>
              <w:top w:val="single" w:color="CCCCCC" w:sz="6"/>
              <w:left w:val="single" w:color="CCCCCC" w:sz="6"/>
              <w:bottom w:val="single" w:color="CCCCCC" w:sz="6"/>
              <w:right w:val="single" w:color="CCCCCC" w:sz="6"/>
            </w:tcBorders>
            <w:shd w:fill="F2F2F2" w:color="auto" w:val="clear"/>
            <w:tcMar>
              <w:top w:type="dxa" w:w="100"/>
              <w:left w:type="dxa" w:w="140"/>
              <w:bottom w:type="dxa" w:w="100"/>
              <w:right w:type="dxa" w:w="140"/>
            </w:tcMar>
          </w:tcPr>
          <w:p>
            <w:pPr>
              <w:jc w:val="left"/>
            </w:pPr>
            <w:r>
              <w:rPr>
                <w:b w:val="false"/>
                <w:bCs w:val="false"/>
              </w:rPr>
              <w:t xml:space="preserve">Full UI translation, voice prompts in onboarding</w:t>
            </w:r>
          </w:p>
        </w:tc>
      </w:tr>
      <w:tr>
        <w:tc>
          <w:tcPr>
            <w:tcW w:type="dxa" w:w="21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rPr>
              <w:t xml:space="preserve">Wolof</w:t>
            </w:r>
          </w:p>
        </w:tc>
        <w:tc>
          <w:tcPr>
            <w:tcW w:type="dxa" w:w="32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rPr>
              <w:t xml:space="preserve">~18% first / widely spoken</w:t>
            </w:r>
          </w:p>
        </w:tc>
        <w:tc>
          <w:tcPr>
            <w:tcW w:type="dxa" w:w="40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rPr>
              <w:t xml:space="preserve">Full UI translation</w:t>
            </w:r>
          </w:p>
        </w:tc>
      </w:tr>
      <w:tr>
        <w:tc>
          <w:tcPr>
            <w:tcW w:type="dxa" w:w="2160"/>
            <w:tcBorders>
              <w:top w:val="single" w:color="CCCCCC" w:sz="6"/>
              <w:left w:val="single" w:color="CCCCCC" w:sz="6"/>
              <w:bottom w:val="single" w:color="CCCCCC" w:sz="6"/>
              <w:right w:val="single" w:color="CCCCCC" w:sz="6"/>
            </w:tcBorders>
            <w:shd w:fill="F2F2F2" w:color="auto" w:val="clear"/>
            <w:tcMar>
              <w:top w:type="dxa" w:w="100"/>
              <w:left w:type="dxa" w:w="140"/>
              <w:bottom w:type="dxa" w:w="100"/>
              <w:right w:type="dxa" w:w="140"/>
            </w:tcMar>
          </w:tcPr>
          <w:p>
            <w:pPr>
              <w:jc w:val="left"/>
            </w:pPr>
            <w:r>
              <w:rPr>
                <w:b w:val="false"/>
                <w:bCs w:val="false"/>
              </w:rPr>
              <w:t xml:space="preserve">Fula (Pulaar)</w:t>
            </w:r>
          </w:p>
        </w:tc>
        <w:tc>
          <w:tcPr>
            <w:tcW w:type="dxa" w:w="3200"/>
            <w:tcBorders>
              <w:top w:val="single" w:color="CCCCCC" w:sz="6"/>
              <w:left w:val="single" w:color="CCCCCC" w:sz="6"/>
              <w:bottom w:val="single" w:color="CCCCCC" w:sz="6"/>
              <w:right w:val="single" w:color="CCCCCC" w:sz="6"/>
            </w:tcBorders>
            <w:shd w:fill="F2F2F2" w:color="auto" w:val="clear"/>
            <w:tcMar>
              <w:top w:type="dxa" w:w="100"/>
              <w:left w:type="dxa" w:w="140"/>
              <w:bottom w:type="dxa" w:w="100"/>
              <w:right w:type="dxa" w:w="140"/>
            </w:tcMar>
          </w:tcPr>
          <w:p>
            <w:pPr>
              <w:jc w:val="left"/>
            </w:pPr>
            <w:r>
              <w:rPr>
                <w:b w:val="false"/>
                <w:bCs w:val="false"/>
              </w:rPr>
              <w:t xml:space="preserve">~20% first language</w:t>
            </w:r>
          </w:p>
        </w:tc>
        <w:tc>
          <w:tcPr>
            <w:tcW w:type="dxa" w:w="4000"/>
            <w:tcBorders>
              <w:top w:val="single" w:color="CCCCCC" w:sz="6"/>
              <w:left w:val="single" w:color="CCCCCC" w:sz="6"/>
              <w:bottom w:val="single" w:color="CCCCCC" w:sz="6"/>
              <w:right w:val="single" w:color="CCCCCC" w:sz="6"/>
            </w:tcBorders>
            <w:shd w:fill="F2F2F2" w:color="auto" w:val="clear"/>
            <w:tcMar>
              <w:top w:type="dxa" w:w="100"/>
              <w:left w:type="dxa" w:w="140"/>
              <w:bottom w:type="dxa" w:w="100"/>
              <w:right w:type="dxa" w:w="140"/>
            </w:tcMar>
          </w:tcPr>
          <w:p>
            <w:pPr>
              <w:jc w:val="left"/>
            </w:pPr>
            <w:r>
              <w:rPr>
                <w:b w:val="false"/>
                <w:bCs w:val="false"/>
              </w:rPr>
              <w:t xml:space="preserve">Full UI translation</w:t>
            </w:r>
          </w:p>
        </w:tc>
      </w:tr>
    </w:tbl>
    <w:p>
      <w:pPr>
        <w:pStyle w:val="Heading2"/>
      </w:pPr>
      <w:r>
        <w:t xml:space="preserve">5.1 Implementation approach</w:t>
      </w:r>
    </w:p>
    <w:p>
      <w:pPr>
        <w:pStyle w:val="ListParagraph"/>
        <w:numPr>
          <w:ilvl w:val="0"/>
          <w:numId w:val="2"/>
        </w:numPr>
        <w:spacing w:after="80"/>
      </w:pPr>
      <w:r>
        <w:t xml:space="preserve">UI strings stored in translation files (i18n), community‑reviewed with native speakers.</w:t>
      </w:r>
    </w:p>
    <w:p>
      <w:pPr>
        <w:pStyle w:val="ListParagraph"/>
        <w:numPr>
          <w:ilvl w:val="0"/>
          <w:numId w:val="2"/>
        </w:numPr>
        <w:spacing w:after="80"/>
      </w:pPr>
      <w:r>
        <w:t xml:space="preserve">Category names and filter labels validated with focus groups in each language.</w:t>
      </w:r>
    </w:p>
    <w:p>
      <w:pPr>
        <w:pStyle w:val="ListParagraph"/>
        <w:numPr>
          <w:ilvl w:val="0"/>
          <w:numId w:val="2"/>
        </w:numPr>
        <w:spacing w:after="80"/>
      </w:pPr>
      <w:r>
        <w:t xml:space="preserve">Audio and voice‑assisted onboarding for low‑literacy users, in local languages.</w:t>
      </w:r>
    </w:p>
    <w:p>
      <w:pPr>
        <w:pStyle w:val="ListParagraph"/>
        <w:numPr>
          <w:ilvl w:val="0"/>
          <w:numId w:val="2"/>
        </w:numPr>
        <w:spacing w:after="80"/>
      </w:pPr>
      <w:r>
        <w:t xml:space="preserve">Currency: Gambian Dalasi (GMD) primary; optional EUR / USD / GBP for diaspora.</w:t>
      </w:r>
    </w:p>
    <w:p>
      <w:pPr>
        <w:pStyle w:val="ListParagraph"/>
        <w:numPr>
          <w:ilvl w:val="0"/>
          <w:numId w:val="2"/>
        </w:numPr>
        <w:spacing w:after="80"/>
      </w:pPr>
      <w:r>
        <w:t xml:space="preserve">Phone numbers stored as E.164; display formatted locally.</w:t>
      </w:r>
    </w:p>
    <w:p>
      <w:r>
        <w:br w:type="page"/>
      </w:r>
    </w:p>
    <w:p>
      <w:pPr>
        <w:pStyle w:val="Heading1"/>
      </w:pPr>
      <w:r>
        <w:t xml:space="preserve">6. Revenue Model</w:t>
      </w:r>
    </w:p>
    <w:p>
      <w:pPr>
        <w:spacing w:after="120"/>
      </w:pPr>
      <w:r>
        <w:t xml:space="preserve">Marketplace.gm uses a freemium classifieds model: listings are free for individuals to maximize liquidity (supply + demand), monetization layers on 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200"/>
        <w:gridCol w:w="2300"/>
        <w:gridCol w:w="2160"/>
      </w:tblGrid>
      <w:tr>
        <w:trPr>
          <w:tblHeader/>
        </w:trPr>
        <w:tc>
          <w:tcPr>
            <w:tcW w:type="dxa" w:w="1700"/>
            <w:tcBorders>
              <w:top w:val="single" w:color="CCCCCC" w:sz="6"/>
              <w:left w:val="single" w:color="CCCCCC" w:sz="6"/>
              <w:bottom w:val="single" w:color="CCCCCC" w:sz="6"/>
              <w:right w:val="single" w:color="CCCCCC" w:sz="6"/>
            </w:tcBorders>
            <w:shd w:fill="1F4E79" w:color="auto" w:val="clear"/>
            <w:tcMar>
              <w:top w:type="dxa" w:w="100"/>
              <w:left w:type="dxa" w:w="140"/>
              <w:bottom w:type="dxa" w:w="100"/>
              <w:right w:type="dxa" w:w="140"/>
            </w:tcMar>
          </w:tcPr>
          <w:p>
            <w:pPr>
              <w:jc w:val="left"/>
            </w:pPr>
            <w:r>
              <w:rPr>
                <w:b/>
                <w:bCs/>
                <w:color w:val="FFFFFF"/>
              </w:rPr>
              <w:t xml:space="preserve">Stream</w:t>
            </w:r>
          </w:p>
        </w:tc>
        <w:tc>
          <w:tcPr>
            <w:tcW w:type="dxa" w:w="3200"/>
            <w:tcBorders>
              <w:top w:val="single" w:color="CCCCCC" w:sz="6"/>
              <w:left w:val="single" w:color="CCCCCC" w:sz="6"/>
              <w:bottom w:val="single" w:color="CCCCCC" w:sz="6"/>
              <w:right w:val="single" w:color="CCCCCC" w:sz="6"/>
            </w:tcBorders>
            <w:shd w:fill="1F4E79" w:color="auto" w:val="clear"/>
            <w:tcMar>
              <w:top w:type="dxa" w:w="100"/>
              <w:left w:type="dxa" w:w="140"/>
              <w:bottom w:type="dxa" w:w="100"/>
              <w:right w:type="dxa" w:w="140"/>
            </w:tcMar>
          </w:tcPr>
          <w:p>
            <w:pPr>
              <w:jc w:val="left"/>
            </w:pPr>
            <w:r>
              <w:rPr>
                <w:b/>
                <w:bCs/>
                <w:color w:val="FFFFFF"/>
              </w:rPr>
              <w:t xml:space="preserve">How it works</w:t>
            </w:r>
          </w:p>
        </w:tc>
        <w:tc>
          <w:tcPr>
            <w:tcW w:type="dxa" w:w="2300"/>
            <w:tcBorders>
              <w:top w:val="single" w:color="CCCCCC" w:sz="6"/>
              <w:left w:val="single" w:color="CCCCCC" w:sz="6"/>
              <w:bottom w:val="single" w:color="CCCCCC" w:sz="6"/>
              <w:right w:val="single" w:color="CCCCCC" w:sz="6"/>
            </w:tcBorders>
            <w:shd w:fill="1F4E79" w:color="auto" w:val="clear"/>
            <w:tcMar>
              <w:top w:type="dxa" w:w="100"/>
              <w:left w:type="dxa" w:w="140"/>
              <w:bottom w:type="dxa" w:w="100"/>
              <w:right w:type="dxa" w:w="140"/>
            </w:tcMar>
          </w:tcPr>
          <w:p>
            <w:pPr>
              <w:jc w:val="left"/>
            </w:pPr>
            <w:r>
              <w:rPr>
                <w:b/>
                <w:bCs/>
                <w:color w:val="FFFFFF"/>
              </w:rPr>
              <w:t xml:space="preserve">Pricing (indicative)</w:t>
            </w:r>
          </w:p>
        </w:tc>
        <w:tc>
          <w:tcPr>
            <w:tcW w:type="dxa" w:w="2160"/>
            <w:tcBorders>
              <w:top w:val="single" w:color="CCCCCC" w:sz="6"/>
              <w:left w:val="single" w:color="CCCCCC" w:sz="6"/>
              <w:bottom w:val="single" w:color="CCCCCC" w:sz="6"/>
              <w:right w:val="single" w:color="CCCCCC" w:sz="6"/>
            </w:tcBorders>
            <w:shd w:fill="1F4E79" w:color="auto" w:val="clear"/>
            <w:tcMar>
              <w:top w:type="dxa" w:w="100"/>
              <w:left w:type="dxa" w:w="140"/>
              <w:bottom w:type="dxa" w:w="100"/>
              <w:right w:type="dxa" w:w="140"/>
            </w:tcMar>
          </w:tcPr>
          <w:p>
            <w:pPr>
              <w:jc w:val="left"/>
            </w:pPr>
            <w:r>
              <w:rPr>
                <w:b/>
                <w:bCs/>
                <w:color w:val="FFFFFF"/>
              </w:rPr>
              <w:t xml:space="preserve">Target share Yr 3</w:t>
            </w:r>
          </w:p>
        </w:tc>
      </w:tr>
      <w:tr>
        <w:tc>
          <w:tcPr>
            <w:tcW w:type="dxa" w:w="17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rPr>
              <w:t xml:space="preserve">Bump‑ups</w:t>
            </w:r>
          </w:p>
        </w:tc>
        <w:tc>
          <w:tcPr>
            <w:tcW w:type="dxa" w:w="32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rPr>
              <w:t xml:space="preserve">Seller pays to push ad back to top of results</w:t>
            </w:r>
          </w:p>
        </w:tc>
        <w:tc>
          <w:tcPr>
            <w:tcW w:type="dxa" w:w="23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rPr>
              <w:t xml:space="preserve">GMD 50–150 per push</w:t>
            </w:r>
          </w:p>
        </w:tc>
        <w:tc>
          <w:tcPr>
            <w:tcW w:type="dxa" w:w="21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rPr>
              <w:t xml:space="preserve">30%</w:t>
            </w:r>
          </w:p>
        </w:tc>
      </w:tr>
      <w:tr>
        <w:tc>
          <w:tcPr>
            <w:tcW w:type="dxa" w:w="1700"/>
            <w:tcBorders>
              <w:top w:val="single" w:color="CCCCCC" w:sz="6"/>
              <w:left w:val="single" w:color="CCCCCC" w:sz="6"/>
              <w:bottom w:val="single" w:color="CCCCCC" w:sz="6"/>
              <w:right w:val="single" w:color="CCCCCC" w:sz="6"/>
            </w:tcBorders>
            <w:shd w:fill="F2F2F2" w:color="auto" w:val="clear"/>
            <w:tcMar>
              <w:top w:type="dxa" w:w="100"/>
              <w:left w:type="dxa" w:w="140"/>
              <w:bottom w:type="dxa" w:w="100"/>
              <w:right w:type="dxa" w:w="140"/>
            </w:tcMar>
          </w:tcPr>
          <w:p>
            <w:pPr>
              <w:jc w:val="left"/>
            </w:pPr>
            <w:r>
              <w:rPr>
                <w:b w:val="false"/>
                <w:bCs w:val="false"/>
              </w:rPr>
              <w:t xml:space="preserve">Featured ads</w:t>
            </w:r>
          </w:p>
        </w:tc>
        <w:tc>
          <w:tcPr>
            <w:tcW w:type="dxa" w:w="3200"/>
            <w:tcBorders>
              <w:top w:val="single" w:color="CCCCCC" w:sz="6"/>
              <w:left w:val="single" w:color="CCCCCC" w:sz="6"/>
              <w:bottom w:val="single" w:color="CCCCCC" w:sz="6"/>
              <w:right w:val="single" w:color="CCCCCC" w:sz="6"/>
            </w:tcBorders>
            <w:shd w:fill="F2F2F2" w:color="auto" w:val="clear"/>
            <w:tcMar>
              <w:top w:type="dxa" w:w="100"/>
              <w:left w:type="dxa" w:w="140"/>
              <w:bottom w:type="dxa" w:w="100"/>
              <w:right w:type="dxa" w:w="140"/>
            </w:tcMar>
          </w:tcPr>
          <w:p>
            <w:pPr>
              <w:jc w:val="left"/>
            </w:pPr>
            <w:r>
              <w:rPr>
                <w:b w:val="false"/>
                <w:bCs w:val="false"/>
              </w:rPr>
              <w:t xml:space="preserve">Highlighted placement on homepage &amp; category</w:t>
            </w:r>
          </w:p>
        </w:tc>
        <w:tc>
          <w:tcPr>
            <w:tcW w:type="dxa" w:w="2300"/>
            <w:tcBorders>
              <w:top w:val="single" w:color="CCCCCC" w:sz="6"/>
              <w:left w:val="single" w:color="CCCCCC" w:sz="6"/>
              <w:bottom w:val="single" w:color="CCCCCC" w:sz="6"/>
              <w:right w:val="single" w:color="CCCCCC" w:sz="6"/>
            </w:tcBorders>
            <w:shd w:fill="F2F2F2" w:color="auto" w:val="clear"/>
            <w:tcMar>
              <w:top w:type="dxa" w:w="100"/>
              <w:left w:type="dxa" w:w="140"/>
              <w:bottom w:type="dxa" w:w="100"/>
              <w:right w:type="dxa" w:w="140"/>
            </w:tcMar>
          </w:tcPr>
          <w:p>
            <w:pPr>
              <w:jc w:val="left"/>
            </w:pPr>
            <w:r>
              <w:rPr>
                <w:b w:val="false"/>
                <w:bCs w:val="false"/>
              </w:rPr>
              <w:t xml:space="preserve">GMD 200–500 per 7 days</w:t>
            </w:r>
          </w:p>
        </w:tc>
        <w:tc>
          <w:tcPr>
            <w:tcW w:type="dxa" w:w="2160"/>
            <w:tcBorders>
              <w:top w:val="single" w:color="CCCCCC" w:sz="6"/>
              <w:left w:val="single" w:color="CCCCCC" w:sz="6"/>
              <w:bottom w:val="single" w:color="CCCCCC" w:sz="6"/>
              <w:right w:val="single" w:color="CCCCCC" w:sz="6"/>
            </w:tcBorders>
            <w:shd w:fill="F2F2F2" w:color="auto" w:val="clear"/>
            <w:tcMar>
              <w:top w:type="dxa" w:w="100"/>
              <w:left w:type="dxa" w:w="140"/>
              <w:bottom w:type="dxa" w:w="100"/>
              <w:right w:type="dxa" w:w="140"/>
            </w:tcMar>
          </w:tcPr>
          <w:p>
            <w:pPr>
              <w:jc w:val="left"/>
            </w:pPr>
            <w:r>
              <w:rPr>
                <w:b w:val="false"/>
                <w:bCs w:val="false"/>
              </w:rPr>
              <w:t xml:space="preserve">20%</w:t>
            </w:r>
          </w:p>
        </w:tc>
      </w:tr>
      <w:tr>
        <w:tc>
          <w:tcPr>
            <w:tcW w:type="dxa" w:w="17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rPr>
              <w:t xml:space="preserve">Business accounts</w:t>
            </w:r>
          </w:p>
        </w:tc>
        <w:tc>
          <w:tcPr>
            <w:tcW w:type="dxa" w:w="32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rPr>
              <w:t xml:space="preserve">Dealer storefronts, multiple ads, analytics</w:t>
            </w:r>
          </w:p>
        </w:tc>
        <w:tc>
          <w:tcPr>
            <w:tcW w:type="dxa" w:w="23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rPr>
              <w:t xml:space="preserve">GMD 1,500–8,000 / month</w:t>
            </w:r>
          </w:p>
        </w:tc>
        <w:tc>
          <w:tcPr>
            <w:tcW w:type="dxa" w:w="21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rPr>
              <w:t xml:space="preserve">25%</w:t>
            </w:r>
          </w:p>
        </w:tc>
      </w:tr>
      <w:tr>
        <w:tc>
          <w:tcPr>
            <w:tcW w:type="dxa" w:w="1700"/>
            <w:tcBorders>
              <w:top w:val="single" w:color="CCCCCC" w:sz="6"/>
              <w:left w:val="single" w:color="CCCCCC" w:sz="6"/>
              <w:bottom w:val="single" w:color="CCCCCC" w:sz="6"/>
              <w:right w:val="single" w:color="CCCCCC" w:sz="6"/>
            </w:tcBorders>
            <w:shd w:fill="F2F2F2" w:color="auto" w:val="clear"/>
            <w:tcMar>
              <w:top w:type="dxa" w:w="100"/>
              <w:left w:type="dxa" w:w="140"/>
              <w:bottom w:type="dxa" w:w="100"/>
              <w:right w:type="dxa" w:w="140"/>
            </w:tcMar>
          </w:tcPr>
          <w:p>
            <w:pPr>
              <w:jc w:val="left"/>
            </w:pPr>
            <w:r>
              <w:rPr>
                <w:b w:val="false"/>
                <w:bCs w:val="false"/>
              </w:rPr>
              <w:t xml:space="preserve">Display ads</w:t>
            </w:r>
          </w:p>
        </w:tc>
        <w:tc>
          <w:tcPr>
            <w:tcW w:type="dxa" w:w="3200"/>
            <w:tcBorders>
              <w:top w:val="single" w:color="CCCCCC" w:sz="6"/>
              <w:left w:val="single" w:color="CCCCCC" w:sz="6"/>
              <w:bottom w:val="single" w:color="CCCCCC" w:sz="6"/>
              <w:right w:val="single" w:color="CCCCCC" w:sz="6"/>
            </w:tcBorders>
            <w:shd w:fill="F2F2F2" w:color="auto" w:val="clear"/>
            <w:tcMar>
              <w:top w:type="dxa" w:w="100"/>
              <w:left w:type="dxa" w:w="140"/>
              <w:bottom w:type="dxa" w:w="100"/>
              <w:right w:type="dxa" w:w="140"/>
            </w:tcMar>
          </w:tcPr>
          <w:p>
            <w:pPr>
              <w:jc w:val="left"/>
            </w:pPr>
            <w:r>
              <w:rPr>
                <w:b w:val="false"/>
                <w:bCs w:val="false"/>
              </w:rPr>
              <w:t xml:space="preserve">Banners, native ads (brands, banks, telcos)</w:t>
            </w:r>
          </w:p>
        </w:tc>
        <w:tc>
          <w:tcPr>
            <w:tcW w:type="dxa" w:w="2300"/>
            <w:tcBorders>
              <w:top w:val="single" w:color="CCCCCC" w:sz="6"/>
              <w:left w:val="single" w:color="CCCCCC" w:sz="6"/>
              <w:bottom w:val="single" w:color="CCCCCC" w:sz="6"/>
              <w:right w:val="single" w:color="CCCCCC" w:sz="6"/>
            </w:tcBorders>
            <w:shd w:fill="F2F2F2" w:color="auto" w:val="clear"/>
            <w:tcMar>
              <w:top w:type="dxa" w:w="100"/>
              <w:left w:type="dxa" w:w="140"/>
              <w:bottom w:type="dxa" w:w="100"/>
              <w:right w:type="dxa" w:w="140"/>
            </w:tcMar>
          </w:tcPr>
          <w:p>
            <w:pPr>
              <w:jc w:val="left"/>
            </w:pPr>
            <w:r>
              <w:rPr>
                <w:b w:val="false"/>
                <w:bCs w:val="false"/>
              </w:rPr>
              <w:t xml:space="preserve">CPM / sponsorship deals</w:t>
            </w:r>
          </w:p>
        </w:tc>
        <w:tc>
          <w:tcPr>
            <w:tcW w:type="dxa" w:w="2160"/>
            <w:tcBorders>
              <w:top w:val="single" w:color="CCCCCC" w:sz="6"/>
              <w:left w:val="single" w:color="CCCCCC" w:sz="6"/>
              <w:bottom w:val="single" w:color="CCCCCC" w:sz="6"/>
              <w:right w:val="single" w:color="CCCCCC" w:sz="6"/>
            </w:tcBorders>
            <w:shd w:fill="F2F2F2" w:color="auto" w:val="clear"/>
            <w:tcMar>
              <w:top w:type="dxa" w:w="100"/>
              <w:left w:type="dxa" w:w="140"/>
              <w:bottom w:type="dxa" w:w="100"/>
              <w:right w:type="dxa" w:w="140"/>
            </w:tcMar>
          </w:tcPr>
          <w:p>
            <w:pPr>
              <w:jc w:val="left"/>
            </w:pPr>
            <w:r>
              <w:rPr>
                <w:b w:val="false"/>
                <w:bCs w:val="false"/>
              </w:rPr>
              <w:t xml:space="preserve">15%</w:t>
            </w:r>
          </w:p>
        </w:tc>
      </w:tr>
      <w:tr>
        <w:tc>
          <w:tcPr>
            <w:tcW w:type="dxa" w:w="17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rPr>
              <w:t xml:space="preserve">Transaction fees</w:t>
            </w:r>
          </w:p>
        </w:tc>
        <w:tc>
          <w:tcPr>
            <w:tcW w:type="dxa" w:w="32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rPr>
              <w:t xml:space="preserve">Commission on “Safe Pay” escrow</w:t>
            </w:r>
          </w:p>
        </w:tc>
        <w:tc>
          <w:tcPr>
            <w:tcW w:type="dxa" w:w="23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rPr>
              <w:t xml:space="preserve">2–5% per transaction</w:t>
            </w:r>
          </w:p>
        </w:tc>
        <w:tc>
          <w:tcPr>
            <w:tcW w:type="dxa" w:w="21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rPr>
              <w:t xml:space="preserve">10%</w:t>
            </w:r>
          </w:p>
        </w:tc>
      </w:tr>
    </w:tbl>
    <w:p>
      <w:pPr>
        <w:pStyle w:val="Heading2"/>
      </w:pPr>
      <w:r>
        <w:t xml:space="preserve">6.1 Pricing principles</w:t>
      </w:r>
    </w:p>
    <w:p>
      <w:pPr>
        <w:pStyle w:val="ListParagraph"/>
        <w:numPr>
          <w:ilvl w:val="0"/>
          <w:numId w:val="2"/>
        </w:numPr>
        <w:spacing w:after="80"/>
      </w:pPr>
      <w:r>
        <w:t xml:space="preserve">Free basic listings forever — the top of the funnel is never taxed.</w:t>
      </w:r>
    </w:p>
    <w:p>
      <w:pPr>
        <w:pStyle w:val="ListParagraph"/>
        <w:numPr>
          <w:ilvl w:val="0"/>
          <w:numId w:val="2"/>
        </w:numPr>
        <w:spacing w:after="80"/>
      </w:pPr>
      <w:r>
        <w:t xml:space="preserve">Simple, upfront prices. No hidden renewal traps.</w:t>
      </w:r>
    </w:p>
    <w:p>
      <w:pPr>
        <w:pStyle w:val="ListParagraph"/>
        <w:numPr>
          <w:ilvl w:val="0"/>
          <w:numId w:val="2"/>
        </w:numPr>
        <w:spacing w:after="80"/>
      </w:pPr>
      <w:r>
        <w:t xml:space="preserve">Payment options Gambians actually use: mobile money first, cards second.</w:t>
      </w:r>
    </w:p>
    <w:p>
      <w:pPr>
        <w:pStyle w:val="ListParagraph"/>
        <w:numPr>
          <w:ilvl w:val="0"/>
          <w:numId w:val="2"/>
        </w:numPr>
        <w:spacing w:after="80"/>
      </w:pPr>
      <w:r>
        <w:t xml:space="preserve">Diaspora can top up a seller’s balance from abroad in EUR/USD/GBP.</w:t>
      </w:r>
    </w:p>
    <w:p>
      <w:r>
        <w:br w:type="page"/>
      </w:r>
    </w:p>
    <w:p>
      <w:pPr>
        <w:pStyle w:val="Heading1"/>
      </w:pPr>
      <w:r>
        <w:t xml:space="preserve">7. Competitive Landscape</w:t>
      </w:r>
    </w:p>
    <w:p>
      <w:pPr>
        <w:spacing w:after="120"/>
      </w:pPr>
      <w:r>
        <w:t xml:space="preserve">No Gambian‑owned classifieds platform currently dominates. The main competition is either global players with weak local adaptation, or general e‑commerce stores that are not truly peer‑to‑peer.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760"/>
        <w:gridCol w:w="3000"/>
      </w:tblGrid>
      <w:tr>
        <w:trPr>
          <w:tblHeader/>
        </w:trPr>
        <w:tc>
          <w:tcPr>
            <w:tcW w:type="dxa" w:w="2000"/>
            <w:tcBorders>
              <w:top w:val="single" w:color="CCCCCC" w:sz="6"/>
              <w:left w:val="single" w:color="CCCCCC" w:sz="6"/>
              <w:bottom w:val="single" w:color="CCCCCC" w:sz="6"/>
              <w:right w:val="single" w:color="CCCCCC" w:sz="6"/>
            </w:tcBorders>
            <w:shd w:fill="1F4E79" w:color="auto" w:val="clear"/>
            <w:tcMar>
              <w:top w:type="dxa" w:w="100"/>
              <w:left w:type="dxa" w:w="140"/>
              <w:bottom w:type="dxa" w:w="100"/>
              <w:right w:type="dxa" w:w="140"/>
            </w:tcMar>
          </w:tcPr>
          <w:p>
            <w:pPr>
              <w:jc w:val="left"/>
            </w:pPr>
            <w:r>
              <w:rPr>
                <w:b/>
                <w:bCs/>
                <w:color w:val="FFFFFF"/>
              </w:rPr>
              <w:t xml:space="preserve">Competitor</w:t>
            </w:r>
          </w:p>
        </w:tc>
        <w:tc>
          <w:tcPr>
            <w:tcW w:type="dxa" w:w="1600"/>
            <w:tcBorders>
              <w:top w:val="single" w:color="CCCCCC" w:sz="6"/>
              <w:left w:val="single" w:color="CCCCCC" w:sz="6"/>
              <w:bottom w:val="single" w:color="CCCCCC" w:sz="6"/>
              <w:right w:val="single" w:color="CCCCCC" w:sz="6"/>
            </w:tcBorders>
            <w:shd w:fill="1F4E79" w:color="auto" w:val="clear"/>
            <w:tcMar>
              <w:top w:type="dxa" w:w="100"/>
              <w:left w:type="dxa" w:w="140"/>
              <w:bottom w:type="dxa" w:w="100"/>
              <w:right w:type="dxa" w:w="140"/>
            </w:tcMar>
          </w:tcPr>
          <w:p>
            <w:pPr>
              <w:jc w:val="left"/>
            </w:pPr>
            <w:r>
              <w:rPr>
                <w:b/>
                <w:bCs/>
                <w:color w:val="FFFFFF"/>
              </w:rPr>
              <w:t xml:space="preserve">Type</w:t>
            </w:r>
          </w:p>
        </w:tc>
        <w:tc>
          <w:tcPr>
            <w:tcW w:type="dxa" w:w="2760"/>
            <w:tcBorders>
              <w:top w:val="single" w:color="CCCCCC" w:sz="6"/>
              <w:left w:val="single" w:color="CCCCCC" w:sz="6"/>
              <w:bottom w:val="single" w:color="CCCCCC" w:sz="6"/>
              <w:right w:val="single" w:color="CCCCCC" w:sz="6"/>
            </w:tcBorders>
            <w:shd w:fill="1F4E79" w:color="auto" w:val="clear"/>
            <w:tcMar>
              <w:top w:type="dxa" w:w="100"/>
              <w:left w:type="dxa" w:w="140"/>
              <w:bottom w:type="dxa" w:w="100"/>
              <w:right w:type="dxa" w:w="140"/>
            </w:tcMar>
          </w:tcPr>
          <w:p>
            <w:pPr>
              <w:jc w:val="left"/>
            </w:pPr>
            <w:r>
              <w:rPr>
                <w:b/>
                <w:bCs/>
                <w:color w:val="FFFFFF"/>
              </w:rPr>
              <w:t xml:space="preserve">Strengths</w:t>
            </w:r>
          </w:p>
        </w:tc>
        <w:tc>
          <w:tcPr>
            <w:tcW w:type="dxa" w:w="3000"/>
            <w:tcBorders>
              <w:top w:val="single" w:color="CCCCCC" w:sz="6"/>
              <w:left w:val="single" w:color="CCCCCC" w:sz="6"/>
              <w:bottom w:val="single" w:color="CCCCCC" w:sz="6"/>
              <w:right w:val="single" w:color="CCCCCC" w:sz="6"/>
            </w:tcBorders>
            <w:shd w:fill="1F4E79" w:color="auto" w:val="clear"/>
            <w:tcMar>
              <w:top w:type="dxa" w:w="100"/>
              <w:left w:type="dxa" w:w="140"/>
              <w:bottom w:type="dxa" w:w="100"/>
              <w:right w:type="dxa" w:w="140"/>
            </w:tcMar>
          </w:tcPr>
          <w:p>
            <w:pPr>
              <w:jc w:val="left"/>
            </w:pPr>
            <w:r>
              <w:rPr>
                <w:b/>
                <w:bCs/>
                <w:color w:val="FFFFFF"/>
              </w:rPr>
              <w:t xml:space="preserve">Weaknesses</w:t>
            </w:r>
          </w:p>
        </w:tc>
      </w:tr>
      <w:tr>
        <w:tc>
          <w:tcPr>
            <w:tcW w:type="dxa" w:w="20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rPr>
              <w:t xml:space="preserve">Facebook Marketplace</w:t>
            </w:r>
          </w:p>
        </w:tc>
        <w:tc>
          <w:tcPr>
            <w:tcW w:type="dxa" w:w="16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rPr>
              <w:t xml:space="preserve">Global C2C</w:t>
            </w:r>
          </w:p>
        </w:tc>
        <w:tc>
          <w:tcPr>
            <w:tcW w:type="dxa" w:w="27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rPr>
              <w:t xml:space="preserve">Massive user base, free, WhatsApp link</w:t>
            </w:r>
          </w:p>
        </w:tc>
        <w:tc>
          <w:tcPr>
            <w:tcW w:type="dxa" w:w="30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rPr>
              <w:t xml:space="preserve">No trust layer, spammy, no categorization, hard to search</w:t>
            </w:r>
          </w:p>
        </w:tc>
      </w:tr>
      <w:tr>
        <w:tc>
          <w:tcPr>
            <w:tcW w:type="dxa" w:w="2000"/>
            <w:tcBorders>
              <w:top w:val="single" w:color="CCCCCC" w:sz="6"/>
              <w:left w:val="single" w:color="CCCCCC" w:sz="6"/>
              <w:bottom w:val="single" w:color="CCCCCC" w:sz="6"/>
              <w:right w:val="single" w:color="CCCCCC" w:sz="6"/>
            </w:tcBorders>
            <w:shd w:fill="F2F2F2" w:color="auto" w:val="clear"/>
            <w:tcMar>
              <w:top w:type="dxa" w:w="100"/>
              <w:left w:type="dxa" w:w="140"/>
              <w:bottom w:type="dxa" w:w="100"/>
              <w:right w:type="dxa" w:w="140"/>
            </w:tcMar>
          </w:tcPr>
          <w:p>
            <w:pPr>
              <w:jc w:val="left"/>
            </w:pPr>
            <w:r>
              <w:rPr>
                <w:b w:val="false"/>
                <w:bCs w:val="false"/>
              </w:rPr>
              <w:t xml:space="preserve">eBaaba</w:t>
            </w:r>
          </w:p>
        </w:tc>
        <w:tc>
          <w:tcPr>
            <w:tcW w:type="dxa" w:w="1600"/>
            <w:tcBorders>
              <w:top w:val="single" w:color="CCCCCC" w:sz="6"/>
              <w:left w:val="single" w:color="CCCCCC" w:sz="6"/>
              <w:bottom w:val="single" w:color="CCCCCC" w:sz="6"/>
              <w:right w:val="single" w:color="CCCCCC" w:sz="6"/>
            </w:tcBorders>
            <w:shd w:fill="F2F2F2" w:color="auto" w:val="clear"/>
            <w:tcMar>
              <w:top w:type="dxa" w:w="100"/>
              <w:left w:type="dxa" w:w="140"/>
              <w:bottom w:type="dxa" w:w="100"/>
              <w:right w:type="dxa" w:w="140"/>
            </w:tcMar>
          </w:tcPr>
          <w:p>
            <w:pPr>
              <w:jc w:val="left"/>
            </w:pPr>
            <w:r>
              <w:rPr>
                <w:b w:val="false"/>
                <w:bCs w:val="false"/>
              </w:rPr>
              <w:t xml:space="preserve">Local B2C e‑commerce</w:t>
            </w:r>
          </w:p>
        </w:tc>
        <w:tc>
          <w:tcPr>
            <w:tcW w:type="dxa" w:w="2760"/>
            <w:tcBorders>
              <w:top w:val="single" w:color="CCCCCC" w:sz="6"/>
              <w:left w:val="single" w:color="CCCCCC" w:sz="6"/>
              <w:bottom w:val="single" w:color="CCCCCC" w:sz="6"/>
              <w:right w:val="single" w:color="CCCCCC" w:sz="6"/>
            </w:tcBorders>
            <w:shd w:fill="F2F2F2" w:color="auto" w:val="clear"/>
            <w:tcMar>
              <w:top w:type="dxa" w:w="100"/>
              <w:left w:type="dxa" w:w="140"/>
              <w:bottom w:type="dxa" w:w="100"/>
              <w:right w:type="dxa" w:w="140"/>
            </w:tcMar>
          </w:tcPr>
          <w:p>
            <w:pPr>
              <w:jc w:val="left"/>
            </w:pPr>
            <w:r>
              <w:rPr>
                <w:b w:val="false"/>
                <w:bCs w:val="false"/>
              </w:rPr>
              <w:t xml:space="preserve">Gambian brand, delivery</w:t>
            </w:r>
          </w:p>
        </w:tc>
        <w:tc>
          <w:tcPr>
            <w:tcW w:type="dxa" w:w="3000"/>
            <w:tcBorders>
              <w:top w:val="single" w:color="CCCCCC" w:sz="6"/>
              <w:left w:val="single" w:color="CCCCCC" w:sz="6"/>
              <w:bottom w:val="single" w:color="CCCCCC" w:sz="6"/>
              <w:right w:val="single" w:color="CCCCCC" w:sz="6"/>
            </w:tcBorders>
            <w:shd w:fill="F2F2F2" w:color="auto" w:val="clear"/>
            <w:tcMar>
              <w:top w:type="dxa" w:w="100"/>
              <w:left w:type="dxa" w:w="140"/>
              <w:bottom w:type="dxa" w:w="100"/>
              <w:right w:type="dxa" w:w="140"/>
            </w:tcMar>
          </w:tcPr>
          <w:p>
            <w:pPr>
              <w:jc w:val="left"/>
            </w:pPr>
            <w:r>
              <w:rPr>
                <w:b w:val="false"/>
                <w:bCs w:val="false"/>
              </w:rPr>
              <w:t xml:space="preserve">Not peer‑to‑peer, limited stock</w:t>
            </w:r>
          </w:p>
        </w:tc>
      </w:tr>
      <w:tr>
        <w:tc>
          <w:tcPr>
            <w:tcW w:type="dxa" w:w="20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rPr>
              <w:t xml:space="preserve">Jumia Gambia</w:t>
            </w:r>
          </w:p>
        </w:tc>
        <w:tc>
          <w:tcPr>
            <w:tcW w:type="dxa" w:w="16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rPr>
              <w:t xml:space="preserve">Pan‑African classifieds</w:t>
            </w:r>
          </w:p>
        </w:tc>
        <w:tc>
          <w:tcPr>
            <w:tcW w:type="dxa" w:w="27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rPr>
              <w:t xml:space="preserve">Brand recognition</w:t>
            </w:r>
          </w:p>
        </w:tc>
        <w:tc>
          <w:tcPr>
            <w:tcW w:type="dxa" w:w="30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rPr>
              <w:t xml:space="preserve">Limited Gambia focus, thin inventory</w:t>
            </w:r>
          </w:p>
        </w:tc>
      </w:tr>
      <w:tr>
        <w:tc>
          <w:tcPr>
            <w:tcW w:type="dxa" w:w="2000"/>
            <w:tcBorders>
              <w:top w:val="single" w:color="CCCCCC" w:sz="6"/>
              <w:left w:val="single" w:color="CCCCCC" w:sz="6"/>
              <w:bottom w:val="single" w:color="CCCCCC" w:sz="6"/>
              <w:right w:val="single" w:color="CCCCCC" w:sz="6"/>
            </w:tcBorders>
            <w:shd w:fill="F2F2F2" w:color="auto" w:val="clear"/>
            <w:tcMar>
              <w:top w:type="dxa" w:w="100"/>
              <w:left w:type="dxa" w:w="140"/>
              <w:bottom w:type="dxa" w:w="100"/>
              <w:right w:type="dxa" w:w="140"/>
            </w:tcMar>
          </w:tcPr>
          <w:p>
            <w:pPr>
              <w:jc w:val="left"/>
            </w:pPr>
            <w:r>
              <w:rPr>
                <w:b w:val="false"/>
                <w:bCs w:val="false"/>
              </w:rPr>
              <w:t xml:space="preserve">PriceGambia</w:t>
            </w:r>
          </w:p>
        </w:tc>
        <w:tc>
          <w:tcPr>
            <w:tcW w:type="dxa" w:w="1600"/>
            <w:tcBorders>
              <w:top w:val="single" w:color="CCCCCC" w:sz="6"/>
              <w:left w:val="single" w:color="CCCCCC" w:sz="6"/>
              <w:bottom w:val="single" w:color="CCCCCC" w:sz="6"/>
              <w:right w:val="single" w:color="CCCCCC" w:sz="6"/>
            </w:tcBorders>
            <w:shd w:fill="F2F2F2" w:color="auto" w:val="clear"/>
            <w:tcMar>
              <w:top w:type="dxa" w:w="100"/>
              <w:left w:type="dxa" w:w="140"/>
              <w:bottom w:type="dxa" w:w="100"/>
              <w:right w:type="dxa" w:w="140"/>
            </w:tcMar>
          </w:tcPr>
          <w:p>
            <w:pPr>
              <w:jc w:val="left"/>
            </w:pPr>
            <w:r>
              <w:rPr>
                <w:b w:val="false"/>
                <w:bCs w:val="false"/>
              </w:rPr>
              <w:t xml:space="preserve">Local B2C / services</w:t>
            </w:r>
          </w:p>
        </w:tc>
        <w:tc>
          <w:tcPr>
            <w:tcW w:type="dxa" w:w="2760"/>
            <w:tcBorders>
              <w:top w:val="single" w:color="CCCCCC" w:sz="6"/>
              <w:left w:val="single" w:color="CCCCCC" w:sz="6"/>
              <w:bottom w:val="single" w:color="CCCCCC" w:sz="6"/>
              <w:right w:val="single" w:color="CCCCCC" w:sz="6"/>
            </w:tcBorders>
            <w:shd w:fill="F2F2F2" w:color="auto" w:val="clear"/>
            <w:tcMar>
              <w:top w:type="dxa" w:w="100"/>
              <w:left w:type="dxa" w:w="140"/>
              <w:bottom w:type="dxa" w:w="100"/>
              <w:right w:type="dxa" w:w="140"/>
            </w:tcMar>
          </w:tcPr>
          <w:p>
            <w:pPr>
              <w:jc w:val="left"/>
            </w:pPr>
            <w:r>
              <w:rPr>
                <w:b w:val="false"/>
                <w:bCs w:val="false"/>
              </w:rPr>
              <w:t xml:space="preserve">Local team, local merchants</w:t>
            </w:r>
          </w:p>
        </w:tc>
        <w:tc>
          <w:tcPr>
            <w:tcW w:type="dxa" w:w="3000"/>
            <w:tcBorders>
              <w:top w:val="single" w:color="CCCCCC" w:sz="6"/>
              <w:left w:val="single" w:color="CCCCCC" w:sz="6"/>
              <w:bottom w:val="single" w:color="CCCCCC" w:sz="6"/>
              <w:right w:val="single" w:color="CCCCCC" w:sz="6"/>
            </w:tcBorders>
            <w:shd w:fill="F2F2F2" w:color="auto" w:val="clear"/>
            <w:tcMar>
              <w:top w:type="dxa" w:w="100"/>
              <w:left w:type="dxa" w:w="140"/>
              <w:bottom w:type="dxa" w:w="100"/>
              <w:right w:type="dxa" w:w="140"/>
            </w:tcMar>
          </w:tcPr>
          <w:p>
            <w:pPr>
              <w:jc w:val="left"/>
            </w:pPr>
            <w:r>
              <w:rPr>
                <w:b w:val="false"/>
                <w:bCs w:val="false"/>
              </w:rPr>
              <w:t xml:space="preserve">Narrow category set</w:t>
            </w:r>
          </w:p>
        </w:tc>
      </w:tr>
      <w:tr>
        <w:tc>
          <w:tcPr>
            <w:tcW w:type="dxa" w:w="20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rPr>
              <w:t xml:space="preserve">WhatsApp groups</w:t>
            </w:r>
          </w:p>
        </w:tc>
        <w:tc>
          <w:tcPr>
            <w:tcW w:type="dxa" w:w="16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rPr>
              <w:t xml:space="preserve">Informal</w:t>
            </w:r>
          </w:p>
        </w:tc>
        <w:tc>
          <w:tcPr>
            <w:tcW w:type="dxa" w:w="27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rPr>
              <w:t xml:space="preserve">Ubiquitous, high trust inside groups</w:t>
            </w:r>
          </w:p>
        </w:tc>
        <w:tc>
          <w:tcPr>
            <w:tcW w:type="dxa" w:w="30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rPr>
              <w:t xml:space="preserve">No discovery, disappears, scam risk</w:t>
            </w:r>
          </w:p>
        </w:tc>
      </w:tr>
    </w:tbl>
    <w:p>
      <w:pPr>
        <w:pStyle w:val="Heading2"/>
      </w:pPr>
      <w:r>
        <w:t xml:space="preserve">7.1 Positioning</w:t>
      </w:r>
    </w:p>
    <w:p>
      <w:pPr>
        <w:spacing w:after="120"/>
      </w:pPr>
      <w:r>
        <w:t xml:space="preserve">Marketplace.gm is “The Gambia’s online marketplace — in your language, on your phone, with sellers you can trust.” Core differentiators:</w:t>
      </w:r>
    </w:p>
    <w:p>
      <w:pPr>
        <w:pStyle w:val="ListParagraph"/>
        <w:numPr>
          <w:ilvl w:val="0"/>
          <w:numId w:val="2"/>
        </w:numPr>
        <w:spacing w:after="80"/>
      </w:pPr>
      <w:r>
        <w:t xml:space="preserve">Gambian‑owned, Gambian‑language, Gambian‑priced.</w:t>
      </w:r>
    </w:p>
    <w:p>
      <w:pPr>
        <w:pStyle w:val="ListParagraph"/>
        <w:numPr>
          <w:ilvl w:val="0"/>
          <w:numId w:val="2"/>
        </w:numPr>
        <w:spacing w:after="80"/>
      </w:pPr>
      <w:r>
        <w:t xml:space="preserve">Mobile‑first, data‑light, works on 2G networks.</w:t>
      </w:r>
    </w:p>
    <w:p>
      <w:pPr>
        <w:pStyle w:val="ListParagraph"/>
        <w:numPr>
          <w:ilvl w:val="0"/>
          <w:numId w:val="2"/>
        </w:numPr>
        <w:spacing w:after="80"/>
      </w:pPr>
      <w:r>
        <w:t xml:space="preserve">Built‑in trust: ratings, verified IDs, scam reporting, optional escrow.</w:t>
      </w:r>
    </w:p>
    <w:p>
      <w:pPr>
        <w:pStyle w:val="ListParagraph"/>
        <w:numPr>
          <w:ilvl w:val="0"/>
          <w:numId w:val="2"/>
        </w:numPr>
        <w:spacing w:after="80"/>
      </w:pPr>
      <w:r>
        <w:t xml:space="preserve">WhatsApp‑friendly: one tap to chat, share ad link anywhere.</w:t>
      </w:r>
    </w:p>
    <w:p>
      <w:pPr>
        <w:pStyle w:val="ListParagraph"/>
        <w:numPr>
          <w:ilvl w:val="0"/>
          <w:numId w:val="2"/>
        </w:numPr>
        <w:spacing w:after="80"/>
      </w:pPr>
      <w:r>
        <w:t xml:space="preserve">Local payments: Africell Money, GamPay, Wave — not just card or bank transfer.</w:t>
      </w:r>
    </w:p>
    <w:p>
      <w:r>
        <w:br w:type="page"/>
      </w:r>
    </w:p>
    <w:p>
      <w:pPr>
        <w:pStyle w:val="Heading1"/>
      </w:pPr>
      <w:r>
        <w:t xml:space="preserve">8. Go‑to‑Market Strategy</w:t>
      </w:r>
    </w:p>
    <w:p>
      <w:pPr>
        <w:pStyle w:val="Heading2"/>
      </w:pPr>
      <w:r>
        <w:t xml:space="preserve">8.1 Launch sequence</w:t>
      </w:r>
    </w:p>
    <w:p>
      <w:pPr>
        <w:spacing w:after="120"/>
      </w:pPr>
      <w:r>
        <w:t xml:space="preserve">Liquidity is the chicken‑and‑egg problem of every marketplace. Strategy is to seed the supply side first, then drive demand.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300"/>
        <w:gridCol w:w="1700"/>
        <w:gridCol w:w="4760"/>
      </w:tblGrid>
      <w:tr>
        <w:trPr>
          <w:tblHeader/>
        </w:trPr>
        <w:tc>
          <w:tcPr>
            <w:tcW w:type="dxa" w:w="1600"/>
            <w:tcBorders>
              <w:top w:val="single" w:color="CCCCCC" w:sz="6"/>
              <w:left w:val="single" w:color="CCCCCC" w:sz="6"/>
              <w:bottom w:val="single" w:color="CCCCCC" w:sz="6"/>
              <w:right w:val="single" w:color="CCCCCC" w:sz="6"/>
            </w:tcBorders>
            <w:shd w:fill="1F4E79" w:color="auto" w:val="clear"/>
            <w:tcMar>
              <w:top w:type="dxa" w:w="100"/>
              <w:left w:type="dxa" w:w="140"/>
              <w:bottom w:type="dxa" w:w="100"/>
              <w:right w:type="dxa" w:w="140"/>
            </w:tcMar>
          </w:tcPr>
          <w:p>
            <w:pPr>
              <w:jc w:val="left"/>
            </w:pPr>
            <w:r>
              <w:rPr>
                <w:b/>
                <w:bCs/>
                <w:color w:val="FFFFFF"/>
              </w:rPr>
              <w:t xml:space="preserve">Phase</w:t>
            </w:r>
          </w:p>
        </w:tc>
        <w:tc>
          <w:tcPr>
            <w:tcW w:type="dxa" w:w="1300"/>
            <w:tcBorders>
              <w:top w:val="single" w:color="CCCCCC" w:sz="6"/>
              <w:left w:val="single" w:color="CCCCCC" w:sz="6"/>
              <w:bottom w:val="single" w:color="CCCCCC" w:sz="6"/>
              <w:right w:val="single" w:color="CCCCCC" w:sz="6"/>
            </w:tcBorders>
            <w:shd w:fill="1F4E79" w:color="auto" w:val="clear"/>
            <w:tcMar>
              <w:top w:type="dxa" w:w="100"/>
              <w:left w:type="dxa" w:w="140"/>
              <w:bottom w:type="dxa" w:w="100"/>
              <w:right w:type="dxa" w:w="140"/>
            </w:tcMar>
          </w:tcPr>
          <w:p>
            <w:pPr>
              <w:jc w:val="left"/>
            </w:pPr>
            <w:r>
              <w:rPr>
                <w:b/>
                <w:bCs/>
                <w:color w:val="FFFFFF"/>
              </w:rPr>
              <w:t xml:space="preserve">Duration</w:t>
            </w:r>
          </w:p>
        </w:tc>
        <w:tc>
          <w:tcPr>
            <w:tcW w:type="dxa" w:w="1700"/>
            <w:tcBorders>
              <w:top w:val="single" w:color="CCCCCC" w:sz="6"/>
              <w:left w:val="single" w:color="CCCCCC" w:sz="6"/>
              <w:bottom w:val="single" w:color="CCCCCC" w:sz="6"/>
              <w:right w:val="single" w:color="CCCCCC" w:sz="6"/>
            </w:tcBorders>
            <w:shd w:fill="1F4E79" w:color="auto" w:val="clear"/>
            <w:tcMar>
              <w:top w:type="dxa" w:w="100"/>
              <w:left w:type="dxa" w:w="140"/>
              <w:bottom w:type="dxa" w:w="100"/>
              <w:right w:type="dxa" w:w="140"/>
            </w:tcMar>
          </w:tcPr>
          <w:p>
            <w:pPr>
              <w:jc w:val="left"/>
            </w:pPr>
            <w:r>
              <w:rPr>
                <w:b/>
                <w:bCs/>
                <w:color w:val="FFFFFF"/>
              </w:rPr>
              <w:t xml:space="preserve">Focus</w:t>
            </w:r>
          </w:p>
        </w:tc>
        <w:tc>
          <w:tcPr>
            <w:tcW w:type="dxa" w:w="4760"/>
            <w:tcBorders>
              <w:top w:val="single" w:color="CCCCCC" w:sz="6"/>
              <w:left w:val="single" w:color="CCCCCC" w:sz="6"/>
              <w:bottom w:val="single" w:color="CCCCCC" w:sz="6"/>
              <w:right w:val="single" w:color="CCCCCC" w:sz="6"/>
            </w:tcBorders>
            <w:shd w:fill="1F4E79" w:color="auto" w:val="clear"/>
            <w:tcMar>
              <w:top w:type="dxa" w:w="100"/>
              <w:left w:type="dxa" w:w="140"/>
              <w:bottom w:type="dxa" w:w="100"/>
              <w:right w:type="dxa" w:w="140"/>
            </w:tcMar>
          </w:tcPr>
          <w:p>
            <w:pPr>
              <w:jc w:val="left"/>
            </w:pPr>
            <w:r>
              <w:rPr>
                <w:b/>
                <w:bCs/>
                <w:color w:val="FFFFFF"/>
              </w:rPr>
              <w:t xml:space="preserve">Key actions</w:t>
            </w:r>
          </w:p>
        </w:tc>
      </w:tr>
      <w:tr>
        <w:tc>
          <w:tcPr>
            <w:tcW w:type="dxa" w:w="16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rPr>
              <w:t xml:space="preserve">0 — Seed supply</w:t>
            </w:r>
          </w:p>
        </w:tc>
        <w:tc>
          <w:tcPr>
            <w:tcW w:type="dxa" w:w="13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rPr>
              <w:t xml:space="preserve">Months 0–3</w:t>
            </w:r>
          </w:p>
        </w:tc>
        <w:tc>
          <w:tcPr>
            <w:tcW w:type="dxa" w:w="17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rPr>
              <w:t xml:space="preserve">Sellers first</w:t>
            </w:r>
          </w:p>
        </w:tc>
        <w:tc>
          <w:tcPr>
            <w:tcW w:type="dxa" w:w="47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rPr>
              <w:t xml:space="preserve">Onboard 500 sellers manually; import Facebook group ads with permission; verify categories</w:t>
            </w:r>
          </w:p>
        </w:tc>
      </w:tr>
      <w:tr>
        <w:tc>
          <w:tcPr>
            <w:tcW w:type="dxa" w:w="1600"/>
            <w:tcBorders>
              <w:top w:val="single" w:color="CCCCCC" w:sz="6"/>
              <w:left w:val="single" w:color="CCCCCC" w:sz="6"/>
              <w:bottom w:val="single" w:color="CCCCCC" w:sz="6"/>
              <w:right w:val="single" w:color="CCCCCC" w:sz="6"/>
            </w:tcBorders>
            <w:shd w:fill="F2F2F2" w:color="auto" w:val="clear"/>
            <w:tcMar>
              <w:top w:type="dxa" w:w="100"/>
              <w:left w:type="dxa" w:w="140"/>
              <w:bottom w:type="dxa" w:w="100"/>
              <w:right w:type="dxa" w:w="140"/>
            </w:tcMar>
          </w:tcPr>
          <w:p>
            <w:pPr>
              <w:jc w:val="left"/>
            </w:pPr>
            <w:r>
              <w:rPr>
                <w:b w:val="false"/>
                <w:bCs w:val="false"/>
              </w:rPr>
              <w:t xml:space="preserve">1 — Soft launch</w:t>
            </w:r>
          </w:p>
        </w:tc>
        <w:tc>
          <w:tcPr>
            <w:tcW w:type="dxa" w:w="1300"/>
            <w:tcBorders>
              <w:top w:val="single" w:color="CCCCCC" w:sz="6"/>
              <w:left w:val="single" w:color="CCCCCC" w:sz="6"/>
              <w:bottom w:val="single" w:color="CCCCCC" w:sz="6"/>
              <w:right w:val="single" w:color="CCCCCC" w:sz="6"/>
            </w:tcBorders>
            <w:shd w:fill="F2F2F2" w:color="auto" w:val="clear"/>
            <w:tcMar>
              <w:top w:type="dxa" w:w="100"/>
              <w:left w:type="dxa" w:w="140"/>
              <w:bottom w:type="dxa" w:w="100"/>
              <w:right w:type="dxa" w:w="140"/>
            </w:tcMar>
          </w:tcPr>
          <w:p>
            <w:pPr>
              <w:jc w:val="left"/>
            </w:pPr>
            <w:r>
              <w:rPr>
                <w:b w:val="false"/>
                <w:bCs w:val="false"/>
              </w:rPr>
              <w:t xml:space="preserve">Months 3–6</w:t>
            </w:r>
          </w:p>
        </w:tc>
        <w:tc>
          <w:tcPr>
            <w:tcW w:type="dxa" w:w="1700"/>
            <w:tcBorders>
              <w:top w:val="single" w:color="CCCCCC" w:sz="6"/>
              <w:left w:val="single" w:color="CCCCCC" w:sz="6"/>
              <w:bottom w:val="single" w:color="CCCCCC" w:sz="6"/>
              <w:right w:val="single" w:color="CCCCCC" w:sz="6"/>
            </w:tcBorders>
            <w:shd w:fill="F2F2F2" w:color="auto" w:val="clear"/>
            <w:tcMar>
              <w:top w:type="dxa" w:w="100"/>
              <w:left w:type="dxa" w:w="140"/>
              <w:bottom w:type="dxa" w:w="100"/>
              <w:right w:type="dxa" w:w="140"/>
            </w:tcMar>
          </w:tcPr>
          <w:p>
            <w:pPr>
              <w:jc w:val="left"/>
            </w:pPr>
            <w:r>
              <w:rPr>
                <w:b w:val="false"/>
                <w:bCs w:val="false"/>
              </w:rPr>
              <w:t xml:space="preserve">Greater Banjul area</w:t>
            </w:r>
          </w:p>
        </w:tc>
        <w:tc>
          <w:tcPr>
            <w:tcW w:type="dxa" w:w="4760"/>
            <w:tcBorders>
              <w:top w:val="single" w:color="CCCCCC" w:sz="6"/>
              <w:left w:val="single" w:color="CCCCCC" w:sz="6"/>
              <w:bottom w:val="single" w:color="CCCCCC" w:sz="6"/>
              <w:right w:val="single" w:color="CCCCCC" w:sz="6"/>
            </w:tcBorders>
            <w:shd w:fill="F2F2F2" w:color="auto" w:val="clear"/>
            <w:tcMar>
              <w:top w:type="dxa" w:w="100"/>
              <w:left w:type="dxa" w:w="140"/>
              <w:bottom w:type="dxa" w:w="100"/>
              <w:right w:type="dxa" w:w="140"/>
            </w:tcMar>
          </w:tcPr>
          <w:p>
            <w:pPr>
              <w:jc w:val="left"/>
            </w:pPr>
            <w:r>
              <w:rPr>
                <w:b w:val="false"/>
                <w:bCs w:val="false"/>
              </w:rPr>
              <w:t xml:space="preserve">Public beta; referral program; WhatsApp‑first sharing; pilot with 5 car dealers and 5 real estate agents</w:t>
            </w:r>
          </w:p>
        </w:tc>
      </w:tr>
      <w:tr>
        <w:tc>
          <w:tcPr>
            <w:tcW w:type="dxa" w:w="16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rPr>
              <w:t xml:space="preserve">2 — National rollout</w:t>
            </w:r>
          </w:p>
        </w:tc>
        <w:tc>
          <w:tcPr>
            <w:tcW w:type="dxa" w:w="13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rPr>
              <w:t xml:space="preserve">Months 6–12</w:t>
            </w:r>
          </w:p>
        </w:tc>
        <w:tc>
          <w:tcPr>
            <w:tcW w:type="dxa" w:w="17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rPr>
              <w:t xml:space="preserve">All regions</w:t>
            </w:r>
          </w:p>
        </w:tc>
        <w:tc>
          <w:tcPr>
            <w:tcW w:type="dxa" w:w="47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rPr>
              <w:t xml:space="preserve">Radio and social ads in 4 languages; influencer partners; mobile money promos launched</w:t>
            </w:r>
          </w:p>
        </w:tc>
      </w:tr>
      <w:tr>
        <w:tc>
          <w:tcPr>
            <w:tcW w:type="dxa" w:w="1600"/>
            <w:tcBorders>
              <w:top w:val="single" w:color="CCCCCC" w:sz="6"/>
              <w:left w:val="single" w:color="CCCCCC" w:sz="6"/>
              <w:bottom w:val="single" w:color="CCCCCC" w:sz="6"/>
              <w:right w:val="single" w:color="CCCCCC" w:sz="6"/>
            </w:tcBorders>
            <w:shd w:fill="F2F2F2" w:color="auto" w:val="clear"/>
            <w:tcMar>
              <w:top w:type="dxa" w:w="100"/>
              <w:left w:type="dxa" w:w="140"/>
              <w:bottom w:type="dxa" w:w="100"/>
              <w:right w:type="dxa" w:w="140"/>
            </w:tcMar>
          </w:tcPr>
          <w:p>
            <w:pPr>
              <w:jc w:val="left"/>
            </w:pPr>
            <w:r>
              <w:rPr>
                <w:b w:val="false"/>
                <w:bCs w:val="false"/>
              </w:rPr>
              <w:t xml:space="preserve">3 — Scale</w:t>
            </w:r>
          </w:p>
        </w:tc>
        <w:tc>
          <w:tcPr>
            <w:tcW w:type="dxa" w:w="1300"/>
            <w:tcBorders>
              <w:top w:val="single" w:color="CCCCCC" w:sz="6"/>
              <w:left w:val="single" w:color="CCCCCC" w:sz="6"/>
              <w:bottom w:val="single" w:color="CCCCCC" w:sz="6"/>
              <w:right w:val="single" w:color="CCCCCC" w:sz="6"/>
            </w:tcBorders>
            <w:shd w:fill="F2F2F2" w:color="auto" w:val="clear"/>
            <w:tcMar>
              <w:top w:type="dxa" w:w="100"/>
              <w:left w:type="dxa" w:w="140"/>
              <w:bottom w:type="dxa" w:w="100"/>
              <w:right w:type="dxa" w:w="140"/>
            </w:tcMar>
          </w:tcPr>
          <w:p>
            <w:pPr>
              <w:jc w:val="left"/>
            </w:pPr>
            <w:r>
              <w:rPr>
                <w:b w:val="false"/>
                <w:bCs w:val="false"/>
              </w:rPr>
              <w:t xml:space="preserve">Year 2</w:t>
            </w:r>
          </w:p>
        </w:tc>
        <w:tc>
          <w:tcPr>
            <w:tcW w:type="dxa" w:w="1700"/>
            <w:tcBorders>
              <w:top w:val="single" w:color="CCCCCC" w:sz="6"/>
              <w:left w:val="single" w:color="CCCCCC" w:sz="6"/>
              <w:bottom w:val="single" w:color="CCCCCC" w:sz="6"/>
              <w:right w:val="single" w:color="CCCCCC" w:sz="6"/>
            </w:tcBorders>
            <w:shd w:fill="F2F2F2" w:color="auto" w:val="clear"/>
            <w:tcMar>
              <w:top w:type="dxa" w:w="100"/>
              <w:left w:type="dxa" w:w="140"/>
              <w:bottom w:type="dxa" w:w="100"/>
              <w:right w:type="dxa" w:w="140"/>
            </w:tcMar>
          </w:tcPr>
          <w:p>
            <w:pPr>
              <w:jc w:val="left"/>
            </w:pPr>
            <w:r>
              <w:rPr>
                <w:b w:val="false"/>
                <w:bCs w:val="false"/>
              </w:rPr>
              <w:t xml:space="preserve">Dealers + services</w:t>
            </w:r>
          </w:p>
        </w:tc>
        <w:tc>
          <w:tcPr>
            <w:tcW w:type="dxa" w:w="4760"/>
            <w:tcBorders>
              <w:top w:val="single" w:color="CCCCCC" w:sz="6"/>
              <w:left w:val="single" w:color="CCCCCC" w:sz="6"/>
              <w:bottom w:val="single" w:color="CCCCCC" w:sz="6"/>
              <w:right w:val="single" w:color="CCCCCC" w:sz="6"/>
            </w:tcBorders>
            <w:shd w:fill="F2F2F2" w:color="auto" w:val="clear"/>
            <w:tcMar>
              <w:top w:type="dxa" w:w="100"/>
              <w:left w:type="dxa" w:w="140"/>
              <w:bottom w:type="dxa" w:w="100"/>
              <w:right w:type="dxa" w:w="140"/>
            </w:tcMar>
          </w:tcPr>
          <w:p>
            <w:pPr>
              <w:jc w:val="left"/>
            </w:pPr>
            <w:r>
              <w:rPr>
                <w:b w:val="false"/>
                <w:bCs w:val="false"/>
              </w:rPr>
              <w:t xml:space="preserve">Paid dealer plans; brand advertising deals; diaspora campaigns</w:t>
            </w:r>
          </w:p>
        </w:tc>
      </w:tr>
      <w:tr>
        <w:tc>
          <w:tcPr>
            <w:tcW w:type="dxa" w:w="16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rPr>
              <w:t xml:space="preserve">4 — Expand</w:t>
            </w:r>
          </w:p>
        </w:tc>
        <w:tc>
          <w:tcPr>
            <w:tcW w:type="dxa" w:w="13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rPr>
              <w:t xml:space="preserve">Year 3+</w:t>
            </w:r>
          </w:p>
        </w:tc>
        <w:tc>
          <w:tcPr>
            <w:tcW w:type="dxa" w:w="17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rPr>
              <w:t xml:space="preserve">Adjacent markets</w:t>
            </w:r>
          </w:p>
        </w:tc>
        <w:tc>
          <w:tcPr>
            <w:tcW w:type="dxa" w:w="47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rPr>
              <w:t xml:space="preserve">Casamance / southern Senegal cross‑border listings; possible Sierra Leone pilot</w:t>
            </w:r>
          </w:p>
        </w:tc>
      </w:tr>
    </w:tbl>
    <w:p>
      <w:pPr>
        <w:pStyle w:val="Heading2"/>
      </w:pPr>
      <w:r>
        <w:t xml:space="preserve">8.2 Acquisition channels</w:t>
      </w:r>
    </w:p>
    <w:p>
      <w:pPr>
        <w:pStyle w:val="ListParagraph"/>
        <w:numPr>
          <w:ilvl w:val="0"/>
          <w:numId w:val="2"/>
        </w:numPr>
        <w:spacing w:after="80"/>
      </w:pPr>
      <w:r>
        <w:t xml:space="preserve">Organic social: TikTok and Facebook short videos of satisfied buyers and sellers, in local languages.</w:t>
      </w:r>
    </w:p>
    <w:p>
      <w:pPr>
        <w:pStyle w:val="ListParagraph"/>
        <w:numPr>
          <w:ilvl w:val="0"/>
          <w:numId w:val="2"/>
        </w:numPr>
        <w:spacing w:after="80"/>
      </w:pPr>
      <w:r>
        <w:t xml:space="preserve">WhatsApp status marketing: incentivize sellers to share their listing link to status.</w:t>
      </w:r>
    </w:p>
    <w:p>
      <w:pPr>
        <w:pStyle w:val="ListParagraph"/>
        <w:numPr>
          <w:ilvl w:val="0"/>
          <w:numId w:val="2"/>
        </w:numPr>
        <w:spacing w:after="80"/>
      </w:pPr>
      <w:r>
        <w:t xml:space="preserve">Radio: FM stations in Mandinka, Wolof, Fula (high reach in rural areas).</w:t>
      </w:r>
    </w:p>
    <w:p>
      <w:pPr>
        <w:pStyle w:val="ListParagraph"/>
        <w:numPr>
          <w:ilvl w:val="0"/>
          <w:numId w:val="2"/>
        </w:numPr>
        <w:spacing w:after="80"/>
      </w:pPr>
      <w:r>
        <w:t xml:space="preserve">Partnerships: telcos for bundled data, banks for mobile money.</w:t>
      </w:r>
    </w:p>
    <w:p>
      <w:pPr>
        <w:pStyle w:val="ListParagraph"/>
        <w:numPr>
          <w:ilvl w:val="0"/>
          <w:numId w:val="2"/>
        </w:numPr>
        <w:spacing w:after="80"/>
      </w:pPr>
      <w:r>
        <w:t xml:space="preserve">Community ambassadors in each of the 8 administrative divisions.</w:t>
      </w:r>
    </w:p>
    <w:p>
      <w:pPr>
        <w:pStyle w:val="ListParagraph"/>
        <w:numPr>
          <w:ilvl w:val="0"/>
          <w:numId w:val="2"/>
        </w:numPr>
        <w:spacing w:after="80"/>
      </w:pPr>
      <w:r>
        <w:t xml:space="preserve">SEO: long‑tail queries (“house for rent Serekunda”, “used Toyota Banjul”).</w:t>
      </w:r>
    </w:p>
    <w:p>
      <w:pPr>
        <w:pStyle w:val="ListParagraph"/>
        <w:numPr>
          <w:ilvl w:val="0"/>
          <w:numId w:val="2"/>
        </w:numPr>
        <w:spacing w:after="80"/>
      </w:pPr>
      <w:r>
        <w:t xml:space="preserve">Diaspora communities: Gambian associations in UK, US, Spain, Netherlands.</w:t>
      </w:r>
    </w:p>
    <w:p>
      <w:pPr>
        <w:pStyle w:val="Heading2"/>
      </w:pPr>
      <w:r>
        <w:t xml:space="preserve">8.3 Activation &amp; retention</w:t>
      </w:r>
    </w:p>
    <w:p>
      <w:pPr>
        <w:pStyle w:val="ListParagraph"/>
        <w:numPr>
          <w:ilvl w:val="0"/>
          <w:numId w:val="2"/>
        </w:numPr>
        <w:spacing w:after="80"/>
      </w:pPr>
      <w:r>
        <w:t xml:space="preserve">First‑listing wizard with helpful photo tips and category suggestions.</w:t>
      </w:r>
    </w:p>
    <w:p>
      <w:pPr>
        <w:pStyle w:val="ListParagraph"/>
        <w:numPr>
          <w:ilvl w:val="0"/>
          <w:numId w:val="2"/>
        </w:numPr>
        <w:spacing w:after="80"/>
      </w:pPr>
      <w:r>
        <w:t xml:space="preserve">Push / SMS notifications for new matches against saved searches.</w:t>
      </w:r>
    </w:p>
    <w:p>
      <w:pPr>
        <w:pStyle w:val="ListParagraph"/>
        <w:numPr>
          <w:ilvl w:val="0"/>
          <w:numId w:val="2"/>
        </w:numPr>
        <w:spacing w:after="80"/>
      </w:pPr>
      <w:r>
        <w:t xml:space="preserve">Weekly “Top deals in your area” digest by WhatsApp Business API.</w:t>
      </w:r>
    </w:p>
    <w:p>
      <w:pPr>
        <w:pStyle w:val="ListParagraph"/>
        <w:numPr>
          <w:ilvl w:val="0"/>
          <w:numId w:val="2"/>
        </w:numPr>
        <w:spacing w:after="80"/>
      </w:pPr>
      <w:r>
        <w:t xml:space="preserve">Seller dashboards with views, messages and conversion stats.</w:t>
      </w:r>
    </w:p>
    <w:p>
      <w:pPr>
        <w:pStyle w:val="ListParagraph"/>
        <w:numPr>
          <w:ilvl w:val="0"/>
          <w:numId w:val="2"/>
        </w:numPr>
        <w:spacing w:after="80"/>
      </w:pPr>
      <w:r>
        <w:t xml:space="preserve">Ratings pressure: sellers with good reviews earn trust badges.</w:t>
      </w:r>
    </w:p>
    <w:p>
      <w:r>
        <w:br w:type="page"/>
      </w:r>
    </w:p>
    <w:p>
      <w:pPr>
        <w:pStyle w:val="Heading1"/>
      </w:pPr>
      <w:r>
        <w:t xml:space="preserve">9. Technology &amp; Operations</w:t>
      </w:r>
    </w:p>
    <w:p>
      <w:pPr>
        <w:pStyle w:val="Heading2"/>
      </w:pPr>
      <w:r>
        <w:t xml:space="preserve">9.1 Stack (proposed)</w:t>
      </w:r>
    </w:p>
    <w:p>
      <w:pPr>
        <w:pStyle w:val="ListParagraph"/>
        <w:numPr>
          <w:ilvl w:val="0"/>
          <w:numId w:val="2"/>
        </w:numPr>
        <w:spacing w:after="80"/>
      </w:pPr>
      <w:r>
        <w:t xml:space="preserve">Web: Next.js PWA, optimized images, works on 2G/3G.</w:t>
      </w:r>
    </w:p>
    <w:p>
      <w:pPr>
        <w:pStyle w:val="ListParagraph"/>
        <w:numPr>
          <w:ilvl w:val="0"/>
          <w:numId w:val="2"/>
        </w:numPr>
        <w:spacing w:after="80"/>
      </w:pPr>
      <w:r>
        <w:t xml:space="preserve">Mobile: React Native app for Android (iOS secondary), APK side‑load for early adopters.</w:t>
      </w:r>
    </w:p>
    <w:p>
      <w:pPr>
        <w:pStyle w:val="ListParagraph"/>
        <w:numPr>
          <w:ilvl w:val="0"/>
          <w:numId w:val="2"/>
        </w:numPr>
        <w:spacing w:after="80"/>
      </w:pPr>
      <w:r>
        <w:t xml:space="preserve">Backend: Node.js / NestJS, PostgreSQL, Redis, S3‑compatible object storage.</w:t>
      </w:r>
    </w:p>
    <w:p>
      <w:pPr>
        <w:pStyle w:val="ListParagraph"/>
        <w:numPr>
          <w:ilvl w:val="0"/>
          <w:numId w:val="2"/>
        </w:numPr>
        <w:spacing w:after="80"/>
      </w:pPr>
      <w:r>
        <w:t xml:space="preserve">Search: Meilisearch or Typesense for fast, typo‑tolerant multilingual search.</w:t>
      </w:r>
    </w:p>
    <w:p>
      <w:pPr>
        <w:pStyle w:val="ListParagraph"/>
        <w:numPr>
          <w:ilvl w:val="0"/>
          <w:numId w:val="2"/>
        </w:numPr>
        <w:spacing w:after="80"/>
      </w:pPr>
      <w:r>
        <w:t xml:space="preserve">Hosting: EU‑based primary (cost‑efficient), CDN edge nodes in Dakar / Lagos.</w:t>
      </w:r>
    </w:p>
    <w:p>
      <w:pPr>
        <w:pStyle w:val="ListParagraph"/>
        <w:numPr>
          <w:ilvl w:val="0"/>
          <w:numId w:val="2"/>
        </w:numPr>
        <w:spacing w:after="80"/>
      </w:pPr>
      <w:r>
        <w:t xml:space="preserve">Payments: direct API integrations with Africell Money, GamPay, Wave; Stripe for diaspora.</w:t>
      </w:r>
    </w:p>
    <w:p>
      <w:pPr>
        <w:pStyle w:val="ListParagraph"/>
        <w:numPr>
          <w:ilvl w:val="0"/>
          <w:numId w:val="2"/>
        </w:numPr>
        <w:spacing w:after="80"/>
      </w:pPr>
      <w:r>
        <w:t xml:space="preserve">Communications: Twilio / AfricasTalking for SMS and WhatsApp Business API.</w:t>
      </w:r>
    </w:p>
    <w:p>
      <w:pPr>
        <w:pStyle w:val="ListParagraph"/>
        <w:numPr>
          <w:ilvl w:val="0"/>
          <w:numId w:val="2"/>
        </w:numPr>
        <w:spacing w:after="80"/>
      </w:pPr>
      <w:r>
        <w:t xml:space="preserve">Analytics: Plausible or PostHog (privacy‑friendly).</w:t>
      </w:r>
    </w:p>
    <w:p>
      <w:pPr>
        <w:pStyle w:val="Heading2"/>
      </w:pPr>
      <w:r>
        <w:t xml:space="preserve">9.2 Trust &amp; safety</w:t>
      </w:r>
    </w:p>
    <w:p>
      <w:pPr>
        <w:pStyle w:val="ListParagraph"/>
        <w:numPr>
          <w:ilvl w:val="0"/>
          <w:numId w:val="2"/>
        </w:numPr>
        <w:spacing w:after="80"/>
      </w:pPr>
      <w:r>
        <w:t xml:space="preserve">Automatic moderation (ML image + text) plus human reviewers.</w:t>
      </w:r>
    </w:p>
    <w:p>
      <w:pPr>
        <w:pStyle w:val="ListParagraph"/>
        <w:numPr>
          <w:ilvl w:val="0"/>
          <w:numId w:val="2"/>
        </w:numPr>
        <w:spacing w:after="80"/>
      </w:pPr>
      <w:r>
        <w:t xml:space="preserve">Phone verification mandatory; optional national ID verification for “Verified seller” badge.</w:t>
      </w:r>
    </w:p>
    <w:p>
      <w:pPr>
        <w:pStyle w:val="ListParagraph"/>
        <w:numPr>
          <w:ilvl w:val="0"/>
          <w:numId w:val="2"/>
        </w:numPr>
        <w:spacing w:after="80"/>
      </w:pPr>
      <w:r>
        <w:t xml:space="preserve">Report‑an‑ad button on every listing; SLA: review within 4 hours.</w:t>
      </w:r>
    </w:p>
    <w:p>
      <w:pPr>
        <w:pStyle w:val="ListParagraph"/>
        <w:numPr>
          <w:ilvl w:val="0"/>
          <w:numId w:val="2"/>
        </w:numPr>
        <w:spacing w:after="80"/>
      </w:pPr>
      <w:r>
        <w:t xml:space="preserve">Scam playbook: pattern detection (price too low, foreign bank transfers, “agent” scams).</w:t>
      </w:r>
    </w:p>
    <w:p>
      <w:pPr>
        <w:pStyle w:val="ListParagraph"/>
        <w:numPr>
          <w:ilvl w:val="0"/>
          <w:numId w:val="2"/>
        </w:numPr>
        <w:spacing w:after="80"/>
      </w:pPr>
      <w:r>
        <w:t xml:space="preserve">Publish a monthly transparency report on fraud removed.</w:t>
      </w:r>
    </w:p>
    <w:p>
      <w:pPr>
        <w:pStyle w:val="Heading2"/>
      </w:pPr>
      <w:r>
        <w:t xml:space="preserve">9.3 Operations</w:t>
      </w:r>
    </w:p>
    <w:p>
      <w:pPr>
        <w:pStyle w:val="ListParagraph"/>
        <w:numPr>
          <w:ilvl w:val="0"/>
          <w:numId w:val="2"/>
        </w:numPr>
        <w:spacing w:after="80"/>
      </w:pPr>
      <w:r>
        <w:t xml:space="preserve">Customer support: WhatsApp, in‑app chat, and phone hotline; hours 08:00–22:00 GMT.</w:t>
      </w:r>
    </w:p>
    <w:p>
      <w:pPr>
        <w:pStyle w:val="ListParagraph"/>
        <w:numPr>
          <w:ilvl w:val="0"/>
          <w:numId w:val="2"/>
        </w:numPr>
        <w:spacing w:after="80"/>
      </w:pPr>
      <w:r>
        <w:t xml:space="preserve">Content moderation: 2 FTE at launch, scaling with volume.</w:t>
      </w:r>
    </w:p>
    <w:p>
      <w:pPr>
        <w:pStyle w:val="ListParagraph"/>
        <w:numPr>
          <w:ilvl w:val="0"/>
          <w:numId w:val="2"/>
        </w:numPr>
        <w:spacing w:after="80"/>
      </w:pPr>
      <w:r>
        <w:t xml:space="preserve">Dealer success team: 1 account manager per 50 paying dealers.</w:t>
      </w:r>
    </w:p>
    <w:p>
      <w:pPr>
        <w:pStyle w:val="ListParagraph"/>
        <w:numPr>
          <w:ilvl w:val="0"/>
          <w:numId w:val="2"/>
        </w:numPr>
        <w:spacing w:after="80"/>
      </w:pPr>
      <w:r>
        <w:t xml:space="preserve">Data protection: comply with The Gambia’s Data Protection Bill and ECOWAS supplementary act.</w:t>
      </w:r>
    </w:p>
    <w:p>
      <w:r>
        <w:br w:type="page"/>
      </w:r>
    </w:p>
    <w:p>
      <w:pPr>
        <w:pStyle w:val="Heading1"/>
      </w:pPr>
      <w:r>
        <w:t xml:space="preserve">10.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1400"/>
        <w:gridCol w:w="1400"/>
        <w:gridCol w:w="3460"/>
      </w:tblGrid>
      <w:tr>
        <w:trPr>
          <w:tblHeader/>
        </w:trPr>
        <w:tc>
          <w:tcPr>
            <w:tcW w:type="dxa" w:w="3100"/>
            <w:tcBorders>
              <w:top w:val="single" w:color="CCCCCC" w:sz="6"/>
              <w:left w:val="single" w:color="CCCCCC" w:sz="6"/>
              <w:bottom w:val="single" w:color="CCCCCC" w:sz="6"/>
              <w:right w:val="single" w:color="CCCCCC" w:sz="6"/>
            </w:tcBorders>
            <w:shd w:fill="1F4E79" w:color="auto" w:val="clear"/>
            <w:tcMar>
              <w:top w:type="dxa" w:w="100"/>
              <w:left w:type="dxa" w:w="140"/>
              <w:bottom w:type="dxa" w:w="100"/>
              <w:right w:type="dxa" w:w="140"/>
            </w:tcMar>
          </w:tcPr>
          <w:p>
            <w:pPr>
              <w:jc w:val="left"/>
            </w:pPr>
            <w:r>
              <w:rPr>
                <w:b/>
                <w:bCs/>
                <w:color w:val="FFFFFF"/>
              </w:rPr>
              <w:t xml:space="preserve">Risk</w:t>
            </w:r>
          </w:p>
        </w:tc>
        <w:tc>
          <w:tcPr>
            <w:tcW w:type="dxa" w:w="1400"/>
            <w:tcBorders>
              <w:top w:val="single" w:color="CCCCCC" w:sz="6"/>
              <w:left w:val="single" w:color="CCCCCC" w:sz="6"/>
              <w:bottom w:val="single" w:color="CCCCCC" w:sz="6"/>
              <w:right w:val="single" w:color="CCCCCC" w:sz="6"/>
            </w:tcBorders>
            <w:shd w:fill="1F4E79" w:color="auto" w:val="clear"/>
            <w:tcMar>
              <w:top w:type="dxa" w:w="100"/>
              <w:left w:type="dxa" w:w="140"/>
              <w:bottom w:type="dxa" w:w="100"/>
              <w:right w:type="dxa" w:w="140"/>
            </w:tcMar>
          </w:tcPr>
          <w:p>
            <w:pPr>
              <w:jc w:val="left"/>
            </w:pPr>
            <w:r>
              <w:rPr>
                <w:b/>
                <w:bCs/>
                <w:color w:val="FFFFFF"/>
              </w:rPr>
              <w:t xml:space="preserve">Likelihood</w:t>
            </w:r>
          </w:p>
        </w:tc>
        <w:tc>
          <w:tcPr>
            <w:tcW w:type="dxa" w:w="1400"/>
            <w:tcBorders>
              <w:top w:val="single" w:color="CCCCCC" w:sz="6"/>
              <w:left w:val="single" w:color="CCCCCC" w:sz="6"/>
              <w:bottom w:val="single" w:color="CCCCCC" w:sz="6"/>
              <w:right w:val="single" w:color="CCCCCC" w:sz="6"/>
            </w:tcBorders>
            <w:shd w:fill="1F4E79" w:color="auto" w:val="clear"/>
            <w:tcMar>
              <w:top w:type="dxa" w:w="100"/>
              <w:left w:type="dxa" w:w="140"/>
              <w:bottom w:type="dxa" w:w="100"/>
              <w:right w:type="dxa" w:w="140"/>
            </w:tcMar>
          </w:tcPr>
          <w:p>
            <w:pPr>
              <w:jc w:val="left"/>
            </w:pPr>
            <w:r>
              <w:rPr>
                <w:b/>
                <w:bCs/>
                <w:color w:val="FFFFFF"/>
              </w:rPr>
              <w:t xml:space="preserve">Impact</w:t>
            </w:r>
          </w:p>
        </w:tc>
        <w:tc>
          <w:tcPr>
            <w:tcW w:type="dxa" w:w="3460"/>
            <w:tcBorders>
              <w:top w:val="single" w:color="CCCCCC" w:sz="6"/>
              <w:left w:val="single" w:color="CCCCCC" w:sz="6"/>
              <w:bottom w:val="single" w:color="CCCCCC" w:sz="6"/>
              <w:right w:val="single" w:color="CCCCCC" w:sz="6"/>
            </w:tcBorders>
            <w:shd w:fill="1F4E79" w:color="auto" w:val="clear"/>
            <w:tcMar>
              <w:top w:type="dxa" w:w="100"/>
              <w:left w:type="dxa" w:w="140"/>
              <w:bottom w:type="dxa" w:w="100"/>
              <w:right w:type="dxa" w:w="140"/>
            </w:tcMar>
          </w:tcPr>
          <w:p>
            <w:pPr>
              <w:jc w:val="left"/>
            </w:pPr>
            <w:r>
              <w:rPr>
                <w:b/>
                <w:bCs/>
                <w:color w:val="FFFFFF"/>
              </w:rPr>
              <w:t xml:space="preserve">Mitigation</w:t>
            </w:r>
          </w:p>
        </w:tc>
      </w:tr>
      <w:tr>
        <w:tc>
          <w:tcPr>
            <w:tcW w:type="dxa" w:w="31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rPr>
              <w:t xml:space="preserve">Low payment conversion (mobile money not yet ubiquitous for online use)</w:t>
            </w:r>
          </w:p>
        </w:tc>
        <w:tc>
          <w:tcPr>
            <w:tcW w:type="dxa" w:w="14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rPr>
              <w:t xml:space="preserve">High</w:t>
            </w:r>
          </w:p>
        </w:tc>
        <w:tc>
          <w:tcPr>
            <w:tcW w:type="dxa" w:w="14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rPr>
              <w:t xml:space="preserve">Med</w:t>
            </w:r>
          </w:p>
        </w:tc>
        <w:tc>
          <w:tcPr>
            <w:tcW w:type="dxa" w:w="34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rPr>
              <w:t xml:space="preserve">Start with free core and bump‑ups payable via airtime / mobile money; add Safe Pay later</w:t>
            </w:r>
          </w:p>
        </w:tc>
      </w:tr>
      <w:tr>
        <w:tc>
          <w:tcPr>
            <w:tcW w:type="dxa" w:w="3100"/>
            <w:tcBorders>
              <w:top w:val="single" w:color="CCCCCC" w:sz="6"/>
              <w:left w:val="single" w:color="CCCCCC" w:sz="6"/>
              <w:bottom w:val="single" w:color="CCCCCC" w:sz="6"/>
              <w:right w:val="single" w:color="CCCCCC" w:sz="6"/>
            </w:tcBorders>
            <w:shd w:fill="F2F2F2" w:color="auto" w:val="clear"/>
            <w:tcMar>
              <w:top w:type="dxa" w:w="100"/>
              <w:left w:type="dxa" w:w="140"/>
              <w:bottom w:type="dxa" w:w="100"/>
              <w:right w:type="dxa" w:w="140"/>
            </w:tcMar>
          </w:tcPr>
          <w:p>
            <w:pPr>
              <w:jc w:val="left"/>
            </w:pPr>
            <w:r>
              <w:rPr>
                <w:b w:val="false"/>
                <w:bCs w:val="false"/>
              </w:rPr>
              <w:t xml:space="preserve">Facebook Marketplace remains default</w:t>
            </w:r>
          </w:p>
        </w:tc>
        <w:tc>
          <w:tcPr>
            <w:tcW w:type="dxa" w:w="1400"/>
            <w:tcBorders>
              <w:top w:val="single" w:color="CCCCCC" w:sz="6"/>
              <w:left w:val="single" w:color="CCCCCC" w:sz="6"/>
              <w:bottom w:val="single" w:color="CCCCCC" w:sz="6"/>
              <w:right w:val="single" w:color="CCCCCC" w:sz="6"/>
            </w:tcBorders>
            <w:shd w:fill="F2F2F2" w:color="auto" w:val="clear"/>
            <w:tcMar>
              <w:top w:type="dxa" w:w="100"/>
              <w:left w:type="dxa" w:w="140"/>
              <w:bottom w:type="dxa" w:w="100"/>
              <w:right w:type="dxa" w:w="140"/>
            </w:tcMar>
          </w:tcPr>
          <w:p>
            <w:pPr>
              <w:jc w:val="left"/>
            </w:pPr>
            <w:r>
              <w:rPr>
                <w:b w:val="false"/>
                <w:bCs w:val="false"/>
              </w:rPr>
              <w:t xml:space="preserve">High</w:t>
            </w:r>
          </w:p>
        </w:tc>
        <w:tc>
          <w:tcPr>
            <w:tcW w:type="dxa" w:w="1400"/>
            <w:tcBorders>
              <w:top w:val="single" w:color="CCCCCC" w:sz="6"/>
              <w:left w:val="single" w:color="CCCCCC" w:sz="6"/>
              <w:bottom w:val="single" w:color="CCCCCC" w:sz="6"/>
              <w:right w:val="single" w:color="CCCCCC" w:sz="6"/>
            </w:tcBorders>
            <w:shd w:fill="F2F2F2" w:color="auto" w:val="clear"/>
            <w:tcMar>
              <w:top w:type="dxa" w:w="100"/>
              <w:left w:type="dxa" w:w="140"/>
              <w:bottom w:type="dxa" w:w="100"/>
              <w:right w:type="dxa" w:w="140"/>
            </w:tcMar>
          </w:tcPr>
          <w:p>
            <w:pPr>
              <w:jc w:val="left"/>
            </w:pPr>
            <w:r>
              <w:rPr>
                <w:b w:val="false"/>
                <w:bCs w:val="false"/>
              </w:rPr>
              <w:t xml:space="preserve">High</w:t>
            </w:r>
          </w:p>
        </w:tc>
        <w:tc>
          <w:tcPr>
            <w:tcW w:type="dxa" w:w="3460"/>
            <w:tcBorders>
              <w:top w:val="single" w:color="CCCCCC" w:sz="6"/>
              <w:left w:val="single" w:color="CCCCCC" w:sz="6"/>
              <w:bottom w:val="single" w:color="CCCCCC" w:sz="6"/>
              <w:right w:val="single" w:color="CCCCCC" w:sz="6"/>
            </w:tcBorders>
            <w:shd w:fill="F2F2F2" w:color="auto" w:val="clear"/>
            <w:tcMar>
              <w:top w:type="dxa" w:w="100"/>
              <w:left w:type="dxa" w:w="140"/>
              <w:bottom w:type="dxa" w:w="100"/>
              <w:right w:type="dxa" w:w="140"/>
            </w:tcMar>
          </w:tcPr>
          <w:p>
            <w:pPr>
              <w:jc w:val="left"/>
            </w:pPr>
            <w:r>
              <w:rPr>
                <w:b w:val="false"/>
                <w:bCs w:val="false"/>
              </w:rPr>
              <w:t xml:space="preserve">Integrate WhatsApp share + category+search advantages FB lacks; seed high‑value verticals (auto, property) FB handles poorly</w:t>
            </w:r>
          </w:p>
        </w:tc>
      </w:tr>
      <w:tr>
        <w:tc>
          <w:tcPr>
            <w:tcW w:type="dxa" w:w="31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rPr>
              <w:t xml:space="preserve">Fraud / scams damage trust early</w:t>
            </w:r>
          </w:p>
        </w:tc>
        <w:tc>
          <w:tcPr>
            <w:tcW w:type="dxa" w:w="14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rPr>
              <w:t xml:space="preserve">Med</w:t>
            </w:r>
          </w:p>
        </w:tc>
        <w:tc>
          <w:tcPr>
            <w:tcW w:type="dxa" w:w="14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rPr>
              <w:t xml:space="preserve">High</w:t>
            </w:r>
          </w:p>
        </w:tc>
        <w:tc>
          <w:tcPr>
            <w:tcW w:type="dxa" w:w="34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rPr>
              <w:t xml:space="preserve">Invest in moderation from day 1; public scam‑awareness campaign; verified badges</w:t>
            </w:r>
          </w:p>
        </w:tc>
      </w:tr>
      <w:tr>
        <w:tc>
          <w:tcPr>
            <w:tcW w:type="dxa" w:w="3100"/>
            <w:tcBorders>
              <w:top w:val="single" w:color="CCCCCC" w:sz="6"/>
              <w:left w:val="single" w:color="CCCCCC" w:sz="6"/>
              <w:bottom w:val="single" w:color="CCCCCC" w:sz="6"/>
              <w:right w:val="single" w:color="CCCCCC" w:sz="6"/>
            </w:tcBorders>
            <w:shd w:fill="F2F2F2" w:color="auto" w:val="clear"/>
            <w:tcMar>
              <w:top w:type="dxa" w:w="100"/>
              <w:left w:type="dxa" w:w="140"/>
              <w:bottom w:type="dxa" w:w="100"/>
              <w:right w:type="dxa" w:w="140"/>
            </w:tcMar>
          </w:tcPr>
          <w:p>
            <w:pPr>
              <w:jc w:val="left"/>
            </w:pPr>
            <w:r>
              <w:rPr>
                <w:b w:val="false"/>
                <w:bCs w:val="false"/>
              </w:rPr>
              <w:t xml:space="preserve">Internet affordability</w:t>
            </w:r>
          </w:p>
        </w:tc>
        <w:tc>
          <w:tcPr>
            <w:tcW w:type="dxa" w:w="1400"/>
            <w:tcBorders>
              <w:top w:val="single" w:color="CCCCCC" w:sz="6"/>
              <w:left w:val="single" w:color="CCCCCC" w:sz="6"/>
              <w:bottom w:val="single" w:color="CCCCCC" w:sz="6"/>
              <w:right w:val="single" w:color="CCCCCC" w:sz="6"/>
            </w:tcBorders>
            <w:shd w:fill="F2F2F2" w:color="auto" w:val="clear"/>
            <w:tcMar>
              <w:top w:type="dxa" w:w="100"/>
              <w:left w:type="dxa" w:w="140"/>
              <w:bottom w:type="dxa" w:w="100"/>
              <w:right w:type="dxa" w:w="140"/>
            </w:tcMar>
          </w:tcPr>
          <w:p>
            <w:pPr>
              <w:jc w:val="left"/>
            </w:pPr>
            <w:r>
              <w:rPr>
                <w:b w:val="false"/>
                <w:bCs w:val="false"/>
              </w:rPr>
              <w:t xml:space="preserve">Med</w:t>
            </w:r>
          </w:p>
        </w:tc>
        <w:tc>
          <w:tcPr>
            <w:tcW w:type="dxa" w:w="1400"/>
            <w:tcBorders>
              <w:top w:val="single" w:color="CCCCCC" w:sz="6"/>
              <w:left w:val="single" w:color="CCCCCC" w:sz="6"/>
              <w:bottom w:val="single" w:color="CCCCCC" w:sz="6"/>
              <w:right w:val="single" w:color="CCCCCC" w:sz="6"/>
            </w:tcBorders>
            <w:shd w:fill="F2F2F2" w:color="auto" w:val="clear"/>
            <w:tcMar>
              <w:top w:type="dxa" w:w="100"/>
              <w:left w:type="dxa" w:w="140"/>
              <w:bottom w:type="dxa" w:w="100"/>
              <w:right w:type="dxa" w:w="140"/>
            </w:tcMar>
          </w:tcPr>
          <w:p>
            <w:pPr>
              <w:jc w:val="left"/>
            </w:pPr>
            <w:r>
              <w:rPr>
                <w:b w:val="false"/>
                <w:bCs w:val="false"/>
              </w:rPr>
              <w:t xml:space="preserve">Med</w:t>
            </w:r>
          </w:p>
        </w:tc>
        <w:tc>
          <w:tcPr>
            <w:tcW w:type="dxa" w:w="3460"/>
            <w:tcBorders>
              <w:top w:val="single" w:color="CCCCCC" w:sz="6"/>
              <w:left w:val="single" w:color="CCCCCC" w:sz="6"/>
              <w:bottom w:val="single" w:color="CCCCCC" w:sz="6"/>
              <w:right w:val="single" w:color="CCCCCC" w:sz="6"/>
            </w:tcBorders>
            <w:shd w:fill="F2F2F2" w:color="auto" w:val="clear"/>
            <w:tcMar>
              <w:top w:type="dxa" w:w="100"/>
              <w:left w:type="dxa" w:w="140"/>
              <w:bottom w:type="dxa" w:w="100"/>
              <w:right w:type="dxa" w:w="140"/>
            </w:tcMar>
          </w:tcPr>
          <w:p>
            <w:pPr>
              <w:jc w:val="left"/>
            </w:pPr>
            <w:r>
              <w:rPr>
                <w:b w:val="false"/>
                <w:bCs w:val="false"/>
              </w:rPr>
              <w:t xml:space="preserve">PWA + data‑saver mode; zero‑rating deal with telcos</w:t>
            </w:r>
          </w:p>
        </w:tc>
      </w:tr>
      <w:tr>
        <w:tc>
          <w:tcPr>
            <w:tcW w:type="dxa" w:w="31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rPr>
              <w:t xml:space="preserve">Regulatory changes (licensing, VAT)</w:t>
            </w:r>
          </w:p>
        </w:tc>
        <w:tc>
          <w:tcPr>
            <w:tcW w:type="dxa" w:w="14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rPr>
              <w:t xml:space="preserve">Med</w:t>
            </w:r>
          </w:p>
        </w:tc>
        <w:tc>
          <w:tcPr>
            <w:tcW w:type="dxa" w:w="14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rPr>
              <w:t xml:space="preserve">Med</w:t>
            </w:r>
          </w:p>
        </w:tc>
        <w:tc>
          <w:tcPr>
            <w:tcW w:type="dxa" w:w="34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rPr>
              <w:t xml:space="preserve">Early engagement with PURA, Ministry of Trade; local legal counsel</w:t>
            </w:r>
          </w:p>
        </w:tc>
      </w:tr>
      <w:tr>
        <w:tc>
          <w:tcPr>
            <w:tcW w:type="dxa" w:w="3100"/>
            <w:tcBorders>
              <w:top w:val="single" w:color="CCCCCC" w:sz="6"/>
              <w:left w:val="single" w:color="CCCCCC" w:sz="6"/>
              <w:bottom w:val="single" w:color="CCCCCC" w:sz="6"/>
              <w:right w:val="single" w:color="CCCCCC" w:sz="6"/>
            </w:tcBorders>
            <w:shd w:fill="F2F2F2" w:color="auto" w:val="clear"/>
            <w:tcMar>
              <w:top w:type="dxa" w:w="100"/>
              <w:left w:type="dxa" w:w="140"/>
              <w:bottom w:type="dxa" w:w="100"/>
              <w:right w:type="dxa" w:w="140"/>
            </w:tcMar>
          </w:tcPr>
          <w:p>
            <w:pPr>
              <w:jc w:val="left"/>
            </w:pPr>
            <w:r>
              <w:rPr>
                <w:b w:val="false"/>
                <w:bCs w:val="false"/>
              </w:rPr>
              <w:t xml:space="preserve">Key‑person dependency</w:t>
            </w:r>
          </w:p>
        </w:tc>
        <w:tc>
          <w:tcPr>
            <w:tcW w:type="dxa" w:w="1400"/>
            <w:tcBorders>
              <w:top w:val="single" w:color="CCCCCC" w:sz="6"/>
              <w:left w:val="single" w:color="CCCCCC" w:sz="6"/>
              <w:bottom w:val="single" w:color="CCCCCC" w:sz="6"/>
              <w:right w:val="single" w:color="CCCCCC" w:sz="6"/>
            </w:tcBorders>
            <w:shd w:fill="F2F2F2" w:color="auto" w:val="clear"/>
            <w:tcMar>
              <w:top w:type="dxa" w:w="100"/>
              <w:left w:type="dxa" w:w="140"/>
              <w:bottom w:type="dxa" w:w="100"/>
              <w:right w:type="dxa" w:w="140"/>
            </w:tcMar>
          </w:tcPr>
          <w:p>
            <w:pPr>
              <w:jc w:val="left"/>
            </w:pPr>
            <w:r>
              <w:rPr>
                <w:b w:val="false"/>
                <w:bCs w:val="false"/>
              </w:rPr>
              <w:t xml:space="preserve">Med</w:t>
            </w:r>
          </w:p>
        </w:tc>
        <w:tc>
          <w:tcPr>
            <w:tcW w:type="dxa" w:w="1400"/>
            <w:tcBorders>
              <w:top w:val="single" w:color="CCCCCC" w:sz="6"/>
              <w:left w:val="single" w:color="CCCCCC" w:sz="6"/>
              <w:bottom w:val="single" w:color="CCCCCC" w:sz="6"/>
              <w:right w:val="single" w:color="CCCCCC" w:sz="6"/>
            </w:tcBorders>
            <w:shd w:fill="F2F2F2" w:color="auto" w:val="clear"/>
            <w:tcMar>
              <w:top w:type="dxa" w:w="100"/>
              <w:left w:type="dxa" w:w="140"/>
              <w:bottom w:type="dxa" w:w="100"/>
              <w:right w:type="dxa" w:w="140"/>
            </w:tcMar>
          </w:tcPr>
          <w:p>
            <w:pPr>
              <w:jc w:val="left"/>
            </w:pPr>
            <w:r>
              <w:rPr>
                <w:b w:val="false"/>
                <w:bCs w:val="false"/>
              </w:rPr>
              <w:t xml:space="preserve">Med</w:t>
            </w:r>
          </w:p>
        </w:tc>
        <w:tc>
          <w:tcPr>
            <w:tcW w:type="dxa" w:w="3460"/>
            <w:tcBorders>
              <w:top w:val="single" w:color="CCCCCC" w:sz="6"/>
              <w:left w:val="single" w:color="CCCCCC" w:sz="6"/>
              <w:bottom w:val="single" w:color="CCCCCC" w:sz="6"/>
              <w:right w:val="single" w:color="CCCCCC" w:sz="6"/>
            </w:tcBorders>
            <w:shd w:fill="F2F2F2" w:color="auto" w:val="clear"/>
            <w:tcMar>
              <w:top w:type="dxa" w:w="100"/>
              <w:left w:type="dxa" w:w="140"/>
              <w:bottom w:type="dxa" w:w="100"/>
              <w:right w:type="dxa" w:w="140"/>
            </w:tcMar>
          </w:tcPr>
          <w:p>
            <w:pPr>
              <w:jc w:val="left"/>
            </w:pPr>
            <w:r>
              <w:rPr>
                <w:b w:val="false"/>
                <w:bCs w:val="false"/>
              </w:rPr>
              <w:t xml:space="preserve">Document SOPs; cross‑train; hire ops lead in Year 1</w:t>
            </w:r>
          </w:p>
        </w:tc>
      </w:tr>
      <w:tr>
        <w:tc>
          <w:tcPr>
            <w:tcW w:type="dxa" w:w="31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rPr>
              <w:t xml:space="preserve">FX exposure on hosting costs</w:t>
            </w:r>
          </w:p>
        </w:tc>
        <w:tc>
          <w:tcPr>
            <w:tcW w:type="dxa" w:w="14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rPr>
              <w:t xml:space="preserve">High</w:t>
            </w:r>
          </w:p>
        </w:tc>
        <w:tc>
          <w:tcPr>
            <w:tcW w:type="dxa" w:w="14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rPr>
              <w:t xml:space="preserve">Low</w:t>
            </w:r>
          </w:p>
        </w:tc>
        <w:tc>
          <w:tcPr>
            <w:tcW w:type="dxa" w:w="34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rPr>
              <w:t xml:space="preserve">Price premium tiers in GMD but inflation‑index annually</w:t>
            </w:r>
          </w:p>
        </w:tc>
      </w:tr>
    </w:tbl>
    <w:p>
      <w:r>
        <w:br w:type="page"/>
      </w:r>
    </w:p>
    <w:p>
      <w:pPr>
        <w:pStyle w:val="Heading1"/>
      </w:pPr>
      <w:r>
        <w:t xml:space="preserve">11. Roadmap &amp;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4160"/>
        <w:gridCol w:w="3900"/>
      </w:tblGrid>
      <w:tr>
        <w:trPr>
          <w:tblHeader/>
        </w:trPr>
        <w:tc>
          <w:tcPr>
            <w:tcW w:type="dxa" w:w="1300"/>
            <w:tcBorders>
              <w:top w:val="single" w:color="CCCCCC" w:sz="6"/>
              <w:left w:val="single" w:color="CCCCCC" w:sz="6"/>
              <w:bottom w:val="single" w:color="CCCCCC" w:sz="6"/>
              <w:right w:val="single" w:color="CCCCCC" w:sz="6"/>
            </w:tcBorders>
            <w:shd w:fill="1F4E79" w:color="auto" w:val="clear"/>
            <w:tcMar>
              <w:top w:type="dxa" w:w="100"/>
              <w:left w:type="dxa" w:w="140"/>
              <w:bottom w:type="dxa" w:w="100"/>
              <w:right w:type="dxa" w:w="140"/>
            </w:tcMar>
          </w:tcPr>
          <w:p>
            <w:pPr>
              <w:jc w:val="left"/>
            </w:pPr>
            <w:r>
              <w:rPr>
                <w:b/>
                <w:bCs/>
                <w:color w:val="FFFFFF"/>
              </w:rPr>
              <w:t xml:space="preserve">Quarter</w:t>
            </w:r>
          </w:p>
        </w:tc>
        <w:tc>
          <w:tcPr>
            <w:tcW w:type="dxa" w:w="4160"/>
            <w:tcBorders>
              <w:top w:val="single" w:color="CCCCCC" w:sz="6"/>
              <w:left w:val="single" w:color="CCCCCC" w:sz="6"/>
              <w:bottom w:val="single" w:color="CCCCCC" w:sz="6"/>
              <w:right w:val="single" w:color="CCCCCC" w:sz="6"/>
            </w:tcBorders>
            <w:shd w:fill="1F4E79" w:color="auto" w:val="clear"/>
            <w:tcMar>
              <w:top w:type="dxa" w:w="100"/>
              <w:left w:type="dxa" w:w="140"/>
              <w:bottom w:type="dxa" w:w="100"/>
              <w:right w:type="dxa" w:w="140"/>
            </w:tcMar>
          </w:tcPr>
          <w:p>
            <w:pPr>
              <w:jc w:val="left"/>
            </w:pPr>
            <w:r>
              <w:rPr>
                <w:b/>
                <w:bCs/>
                <w:color w:val="FFFFFF"/>
              </w:rPr>
              <w:t xml:space="preserve">Milestone</w:t>
            </w:r>
          </w:p>
        </w:tc>
        <w:tc>
          <w:tcPr>
            <w:tcW w:type="dxa" w:w="3900"/>
            <w:tcBorders>
              <w:top w:val="single" w:color="CCCCCC" w:sz="6"/>
              <w:left w:val="single" w:color="CCCCCC" w:sz="6"/>
              <w:bottom w:val="single" w:color="CCCCCC" w:sz="6"/>
              <w:right w:val="single" w:color="CCCCCC" w:sz="6"/>
            </w:tcBorders>
            <w:shd w:fill="1F4E79" w:color="auto" w:val="clear"/>
            <w:tcMar>
              <w:top w:type="dxa" w:w="100"/>
              <w:left w:type="dxa" w:w="140"/>
              <w:bottom w:type="dxa" w:w="100"/>
              <w:right w:type="dxa" w:w="140"/>
            </w:tcMar>
          </w:tcPr>
          <w:p>
            <w:pPr>
              <w:jc w:val="left"/>
            </w:pPr>
            <w:r>
              <w:rPr>
                <w:b/>
                <w:bCs/>
                <w:color w:val="FFFFFF"/>
              </w:rPr>
              <w:t xml:space="preserve">Success metric</w:t>
            </w:r>
          </w:p>
        </w:tc>
      </w:tr>
      <w:tr>
        <w:tc>
          <w:tcPr>
            <w:tcW w:type="dxa" w:w="13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rPr>
              <w:t xml:space="preserve">Q1</w:t>
            </w:r>
          </w:p>
        </w:tc>
        <w:tc>
          <w:tcPr>
            <w:tcW w:type="dxa" w:w="41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rPr>
              <w:t xml:space="preserve">MVP web + Android alpha; 500 seeded listings</w:t>
            </w:r>
          </w:p>
        </w:tc>
        <w:tc>
          <w:tcPr>
            <w:tcW w:type="dxa" w:w="39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rPr>
              <w:t xml:space="preserve">500 listings, 2,000 weekly visitors</w:t>
            </w:r>
          </w:p>
        </w:tc>
      </w:tr>
      <w:tr>
        <w:tc>
          <w:tcPr>
            <w:tcW w:type="dxa" w:w="1300"/>
            <w:tcBorders>
              <w:top w:val="single" w:color="CCCCCC" w:sz="6"/>
              <w:left w:val="single" w:color="CCCCCC" w:sz="6"/>
              <w:bottom w:val="single" w:color="CCCCCC" w:sz="6"/>
              <w:right w:val="single" w:color="CCCCCC" w:sz="6"/>
            </w:tcBorders>
            <w:shd w:fill="F2F2F2" w:color="auto" w:val="clear"/>
            <w:tcMar>
              <w:top w:type="dxa" w:w="100"/>
              <w:left w:type="dxa" w:w="140"/>
              <w:bottom w:type="dxa" w:w="100"/>
              <w:right w:type="dxa" w:w="140"/>
            </w:tcMar>
          </w:tcPr>
          <w:p>
            <w:pPr>
              <w:jc w:val="left"/>
            </w:pPr>
            <w:r>
              <w:rPr>
                <w:b w:val="false"/>
                <w:bCs w:val="false"/>
              </w:rPr>
              <w:t xml:space="preserve">Q2</w:t>
            </w:r>
          </w:p>
        </w:tc>
        <w:tc>
          <w:tcPr>
            <w:tcW w:type="dxa" w:w="4160"/>
            <w:tcBorders>
              <w:top w:val="single" w:color="CCCCCC" w:sz="6"/>
              <w:left w:val="single" w:color="CCCCCC" w:sz="6"/>
              <w:bottom w:val="single" w:color="CCCCCC" w:sz="6"/>
              <w:right w:val="single" w:color="CCCCCC" w:sz="6"/>
            </w:tcBorders>
            <w:shd w:fill="F2F2F2" w:color="auto" w:val="clear"/>
            <w:tcMar>
              <w:top w:type="dxa" w:w="100"/>
              <w:left w:type="dxa" w:w="140"/>
              <w:bottom w:type="dxa" w:w="100"/>
              <w:right w:type="dxa" w:w="140"/>
            </w:tcMar>
          </w:tcPr>
          <w:p>
            <w:pPr>
              <w:jc w:val="left"/>
            </w:pPr>
            <w:r>
              <w:rPr>
                <w:b w:val="false"/>
                <w:bCs w:val="false"/>
              </w:rPr>
              <w:t xml:space="preserve">Public soft launch in Greater Banjul; 4‑language UI live</w:t>
            </w:r>
          </w:p>
        </w:tc>
        <w:tc>
          <w:tcPr>
            <w:tcW w:type="dxa" w:w="3900"/>
            <w:tcBorders>
              <w:top w:val="single" w:color="CCCCCC" w:sz="6"/>
              <w:left w:val="single" w:color="CCCCCC" w:sz="6"/>
              <w:bottom w:val="single" w:color="CCCCCC" w:sz="6"/>
              <w:right w:val="single" w:color="CCCCCC" w:sz="6"/>
            </w:tcBorders>
            <w:shd w:fill="F2F2F2" w:color="auto" w:val="clear"/>
            <w:tcMar>
              <w:top w:type="dxa" w:w="100"/>
              <w:left w:type="dxa" w:w="140"/>
              <w:bottom w:type="dxa" w:w="100"/>
              <w:right w:type="dxa" w:w="140"/>
            </w:tcMar>
          </w:tcPr>
          <w:p>
            <w:pPr>
              <w:jc w:val="left"/>
            </w:pPr>
            <w:r>
              <w:rPr>
                <w:b w:val="false"/>
                <w:bCs w:val="false"/>
              </w:rPr>
              <w:t xml:space="preserve">5,000 listings, 15,000 MAU</w:t>
            </w:r>
          </w:p>
        </w:tc>
      </w:tr>
      <w:tr>
        <w:tc>
          <w:tcPr>
            <w:tcW w:type="dxa" w:w="13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rPr>
              <w:t xml:space="preserve">Q3</w:t>
            </w:r>
          </w:p>
        </w:tc>
        <w:tc>
          <w:tcPr>
            <w:tcW w:type="dxa" w:w="41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rPr>
              <w:t xml:space="preserve">Bump‑up monetization via mobile money</w:t>
            </w:r>
          </w:p>
        </w:tc>
        <w:tc>
          <w:tcPr>
            <w:tcW w:type="dxa" w:w="39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rPr>
              <w:t xml:space="preserve">300 paid promotions / month</w:t>
            </w:r>
          </w:p>
        </w:tc>
      </w:tr>
      <w:tr>
        <w:tc>
          <w:tcPr>
            <w:tcW w:type="dxa" w:w="1300"/>
            <w:tcBorders>
              <w:top w:val="single" w:color="CCCCCC" w:sz="6"/>
              <w:left w:val="single" w:color="CCCCCC" w:sz="6"/>
              <w:bottom w:val="single" w:color="CCCCCC" w:sz="6"/>
              <w:right w:val="single" w:color="CCCCCC" w:sz="6"/>
            </w:tcBorders>
            <w:shd w:fill="F2F2F2" w:color="auto" w:val="clear"/>
            <w:tcMar>
              <w:top w:type="dxa" w:w="100"/>
              <w:left w:type="dxa" w:w="140"/>
              <w:bottom w:type="dxa" w:w="100"/>
              <w:right w:type="dxa" w:w="140"/>
            </w:tcMar>
          </w:tcPr>
          <w:p>
            <w:pPr>
              <w:jc w:val="left"/>
            </w:pPr>
            <w:r>
              <w:rPr>
                <w:b w:val="false"/>
                <w:bCs w:val="false"/>
              </w:rPr>
              <w:t xml:space="preserve">Q4</w:t>
            </w:r>
          </w:p>
        </w:tc>
        <w:tc>
          <w:tcPr>
            <w:tcW w:type="dxa" w:w="4160"/>
            <w:tcBorders>
              <w:top w:val="single" w:color="CCCCCC" w:sz="6"/>
              <w:left w:val="single" w:color="CCCCCC" w:sz="6"/>
              <w:bottom w:val="single" w:color="CCCCCC" w:sz="6"/>
              <w:right w:val="single" w:color="CCCCCC" w:sz="6"/>
            </w:tcBorders>
            <w:shd w:fill="F2F2F2" w:color="auto" w:val="clear"/>
            <w:tcMar>
              <w:top w:type="dxa" w:w="100"/>
              <w:left w:type="dxa" w:w="140"/>
              <w:bottom w:type="dxa" w:w="100"/>
              <w:right w:type="dxa" w:w="140"/>
            </w:tcMar>
          </w:tcPr>
          <w:p>
            <w:pPr>
              <w:jc w:val="left"/>
            </w:pPr>
            <w:r>
              <w:rPr>
                <w:b w:val="false"/>
                <w:bCs w:val="false"/>
              </w:rPr>
              <w:t xml:space="preserve">Dealer program launch (auto + real estate)</w:t>
            </w:r>
          </w:p>
        </w:tc>
        <w:tc>
          <w:tcPr>
            <w:tcW w:type="dxa" w:w="3900"/>
            <w:tcBorders>
              <w:top w:val="single" w:color="CCCCCC" w:sz="6"/>
              <w:left w:val="single" w:color="CCCCCC" w:sz="6"/>
              <w:bottom w:val="single" w:color="CCCCCC" w:sz="6"/>
              <w:right w:val="single" w:color="CCCCCC" w:sz="6"/>
            </w:tcBorders>
            <w:shd w:fill="F2F2F2" w:color="auto" w:val="clear"/>
            <w:tcMar>
              <w:top w:type="dxa" w:w="100"/>
              <w:left w:type="dxa" w:w="140"/>
              <w:bottom w:type="dxa" w:w="100"/>
              <w:right w:type="dxa" w:w="140"/>
            </w:tcMar>
          </w:tcPr>
          <w:p>
            <w:pPr>
              <w:jc w:val="left"/>
            </w:pPr>
            <w:r>
              <w:rPr>
                <w:b w:val="false"/>
                <w:bCs w:val="false"/>
              </w:rPr>
              <w:t xml:space="preserve">50 paying dealer accounts</w:t>
            </w:r>
          </w:p>
        </w:tc>
      </w:tr>
      <w:tr>
        <w:tc>
          <w:tcPr>
            <w:tcW w:type="dxa" w:w="13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rPr>
              <w:t xml:space="preserve">Y2 H1</w:t>
            </w:r>
          </w:p>
        </w:tc>
        <w:tc>
          <w:tcPr>
            <w:tcW w:type="dxa" w:w="41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rPr>
              <w:t xml:space="preserve">National coverage, verified seller badge</w:t>
            </w:r>
          </w:p>
        </w:tc>
        <w:tc>
          <w:tcPr>
            <w:tcW w:type="dxa" w:w="39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rPr>
              <w:t xml:space="preserve">25,000 listings, 80,000 MAU</w:t>
            </w:r>
          </w:p>
        </w:tc>
      </w:tr>
      <w:tr>
        <w:tc>
          <w:tcPr>
            <w:tcW w:type="dxa" w:w="1300"/>
            <w:tcBorders>
              <w:top w:val="single" w:color="CCCCCC" w:sz="6"/>
              <w:left w:val="single" w:color="CCCCCC" w:sz="6"/>
              <w:bottom w:val="single" w:color="CCCCCC" w:sz="6"/>
              <w:right w:val="single" w:color="CCCCCC" w:sz="6"/>
            </w:tcBorders>
            <w:shd w:fill="F2F2F2" w:color="auto" w:val="clear"/>
            <w:tcMar>
              <w:top w:type="dxa" w:w="100"/>
              <w:left w:type="dxa" w:w="140"/>
              <w:bottom w:type="dxa" w:w="100"/>
              <w:right w:type="dxa" w:w="140"/>
            </w:tcMar>
          </w:tcPr>
          <w:p>
            <w:pPr>
              <w:jc w:val="left"/>
            </w:pPr>
            <w:r>
              <w:rPr>
                <w:b w:val="false"/>
                <w:bCs w:val="false"/>
              </w:rPr>
              <w:t xml:space="preserve">Y2 H2</w:t>
            </w:r>
          </w:p>
        </w:tc>
        <w:tc>
          <w:tcPr>
            <w:tcW w:type="dxa" w:w="4160"/>
            <w:tcBorders>
              <w:top w:val="single" w:color="CCCCCC" w:sz="6"/>
              <w:left w:val="single" w:color="CCCCCC" w:sz="6"/>
              <w:bottom w:val="single" w:color="CCCCCC" w:sz="6"/>
              <w:right w:val="single" w:color="CCCCCC" w:sz="6"/>
            </w:tcBorders>
            <w:shd w:fill="F2F2F2" w:color="auto" w:val="clear"/>
            <w:tcMar>
              <w:top w:type="dxa" w:w="100"/>
              <w:left w:type="dxa" w:w="140"/>
              <w:bottom w:type="dxa" w:w="100"/>
              <w:right w:type="dxa" w:w="140"/>
            </w:tcMar>
          </w:tcPr>
          <w:p>
            <w:pPr>
              <w:jc w:val="left"/>
            </w:pPr>
            <w:r>
              <w:rPr>
                <w:b w:val="false"/>
                <w:bCs w:val="false"/>
              </w:rPr>
              <w:t xml:space="preserve">Safe Pay escrow + delivery partners</w:t>
            </w:r>
          </w:p>
        </w:tc>
        <w:tc>
          <w:tcPr>
            <w:tcW w:type="dxa" w:w="3900"/>
            <w:tcBorders>
              <w:top w:val="single" w:color="CCCCCC" w:sz="6"/>
              <w:left w:val="single" w:color="CCCCCC" w:sz="6"/>
              <w:bottom w:val="single" w:color="CCCCCC" w:sz="6"/>
              <w:right w:val="single" w:color="CCCCCC" w:sz="6"/>
            </w:tcBorders>
            <w:shd w:fill="F2F2F2" w:color="auto" w:val="clear"/>
            <w:tcMar>
              <w:top w:type="dxa" w:w="100"/>
              <w:left w:type="dxa" w:w="140"/>
              <w:bottom w:type="dxa" w:w="100"/>
              <w:right w:type="dxa" w:w="140"/>
            </w:tcMar>
          </w:tcPr>
          <w:p>
            <w:pPr>
              <w:jc w:val="left"/>
            </w:pPr>
            <w:r>
              <w:rPr>
                <w:b w:val="false"/>
                <w:bCs w:val="false"/>
              </w:rPr>
              <w:t xml:space="preserve">First 1,000 escrow transactions</w:t>
            </w:r>
          </w:p>
        </w:tc>
      </w:tr>
      <w:tr>
        <w:tc>
          <w:tcPr>
            <w:tcW w:type="dxa" w:w="13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rPr>
              <w:t xml:space="preserve">Y3</w:t>
            </w:r>
          </w:p>
        </w:tc>
        <w:tc>
          <w:tcPr>
            <w:tcW w:type="dxa" w:w="41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rPr>
              <w:t xml:space="preserve">Diaspora mode + services marketplace</w:t>
            </w:r>
          </w:p>
        </w:tc>
        <w:tc>
          <w:tcPr>
            <w:tcW w:type="dxa" w:w="39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rPr>
              <w:t xml:space="preserve">250,000 MAU, break‑even in country</w:t>
            </w:r>
          </w:p>
        </w:tc>
      </w:tr>
    </w:tbl>
    <w:p>
      <w:r>
        <w:br w:type="page"/>
      </w:r>
    </w:p>
    <w:p>
      <w:pPr>
        <w:pStyle w:val="Heading1"/>
      </w:pPr>
      <w:r>
        <w:t xml:space="preserve">12. Team &amp; Funding</w:t>
      </w:r>
    </w:p>
    <w:p>
      <w:pPr>
        <w:pStyle w:val="Heading2"/>
      </w:pPr>
      <w:r>
        <w:t xml:space="preserve">12.1 Founding team (to fill)</w:t>
      </w:r>
    </w:p>
    <w:p>
      <w:pPr>
        <w:pStyle w:val="ListParagraph"/>
        <w:numPr>
          <w:ilvl w:val="0"/>
          <w:numId w:val="2"/>
        </w:numPr>
        <w:spacing w:after="80"/>
      </w:pPr>
      <w:r>
        <w:t xml:space="preserve">CEO / Product — owns vision, partnerships, fundraising.</w:t>
      </w:r>
    </w:p>
    <w:p>
      <w:pPr>
        <w:pStyle w:val="ListParagraph"/>
        <w:numPr>
          <w:ilvl w:val="0"/>
          <w:numId w:val="2"/>
        </w:numPr>
        <w:spacing w:after="80"/>
      </w:pPr>
      <w:r>
        <w:t xml:space="preserve">CTO — full‑stack; ideally Gambian diaspora engineer.</w:t>
      </w:r>
    </w:p>
    <w:p>
      <w:pPr>
        <w:pStyle w:val="ListParagraph"/>
        <w:numPr>
          <w:ilvl w:val="0"/>
          <w:numId w:val="2"/>
        </w:numPr>
        <w:spacing w:after="80"/>
      </w:pPr>
      <w:r>
        <w:t xml:space="preserve">Head of Growth — on the ground in Banjul, fluent in local languages.</w:t>
      </w:r>
    </w:p>
    <w:p>
      <w:pPr>
        <w:pStyle w:val="ListParagraph"/>
        <w:numPr>
          <w:ilvl w:val="0"/>
          <w:numId w:val="2"/>
        </w:numPr>
        <w:spacing w:after="80"/>
      </w:pPr>
      <w:r>
        <w:t xml:space="preserve">Community &amp; Moderation Lead — manages trust, content, dealer relations.</w:t>
      </w:r>
    </w:p>
    <w:p>
      <w:pPr>
        <w:pStyle w:val="Heading2"/>
      </w:pPr>
      <w:r>
        <w:t xml:space="preserve">12.2 Indicative capital need</w:t>
      </w:r>
    </w:p>
    <w:p>
      <w:pPr>
        <w:spacing w:after="120"/>
      </w:pPr>
      <w:r>
        <w:t xml:space="preserve">A lean launch is realistic given low local salaries and use of open‑source tooling. Rough budget for the first 18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CCCCCC" w:sz="6"/>
              <w:left w:val="single" w:color="CCCCCC" w:sz="6"/>
              <w:bottom w:val="single" w:color="CCCCCC" w:sz="6"/>
              <w:right w:val="single" w:color="CCCCCC" w:sz="6"/>
            </w:tcBorders>
            <w:shd w:fill="1F4E79" w:color="auto" w:val="clear"/>
            <w:tcMar>
              <w:top w:type="dxa" w:w="100"/>
              <w:left w:type="dxa" w:w="140"/>
              <w:bottom w:type="dxa" w:w="100"/>
              <w:right w:type="dxa" w:w="140"/>
            </w:tcMar>
          </w:tcPr>
          <w:p>
            <w:pPr>
              <w:jc w:val="left"/>
            </w:pPr>
            <w:r>
              <w:rPr>
                <w:b/>
                <w:bCs/>
                <w:color w:val="FFFFFF"/>
              </w:rPr>
              <w:t xml:space="preserve">Bucket</w:t>
            </w:r>
          </w:p>
        </w:tc>
        <w:tc>
          <w:tcPr>
            <w:tcW w:type="dxa" w:w="2600"/>
            <w:tcBorders>
              <w:top w:val="single" w:color="CCCCCC" w:sz="6"/>
              <w:left w:val="single" w:color="CCCCCC" w:sz="6"/>
              <w:bottom w:val="single" w:color="CCCCCC" w:sz="6"/>
              <w:right w:val="single" w:color="CCCCCC" w:sz="6"/>
            </w:tcBorders>
            <w:shd w:fill="1F4E79" w:color="auto" w:val="clear"/>
            <w:tcMar>
              <w:top w:type="dxa" w:w="100"/>
              <w:left w:type="dxa" w:w="140"/>
              <w:bottom w:type="dxa" w:w="100"/>
              <w:right w:type="dxa" w:w="140"/>
            </w:tcMar>
          </w:tcPr>
          <w:p>
            <w:pPr>
              <w:jc w:val="left"/>
            </w:pPr>
            <w:r>
              <w:rPr>
                <w:b/>
                <w:bCs/>
                <w:color w:val="FFFFFF"/>
              </w:rPr>
              <w:t xml:space="preserve">18‑month cost (EUR)</w:t>
            </w:r>
          </w:p>
        </w:tc>
        <w:tc>
          <w:tcPr>
            <w:tcW w:type="dxa" w:w="4160"/>
            <w:tcBorders>
              <w:top w:val="single" w:color="CCCCCC" w:sz="6"/>
              <w:left w:val="single" w:color="CCCCCC" w:sz="6"/>
              <w:bottom w:val="single" w:color="CCCCCC" w:sz="6"/>
              <w:right w:val="single" w:color="CCCCCC" w:sz="6"/>
            </w:tcBorders>
            <w:shd w:fill="1F4E79" w:color="auto" w:val="clear"/>
            <w:tcMar>
              <w:top w:type="dxa" w:w="100"/>
              <w:left w:type="dxa" w:w="140"/>
              <w:bottom w:type="dxa" w:w="100"/>
              <w:right w:type="dxa" w:w="140"/>
            </w:tcMar>
          </w:tcPr>
          <w:p>
            <w:pPr>
              <w:jc w:val="left"/>
            </w:pPr>
            <w:r>
              <w:rPr>
                <w:b/>
                <w:bCs/>
                <w:color w:val="FFFFFF"/>
              </w:rPr>
              <w:t xml:space="preserve">Notes</w:t>
            </w:r>
          </w:p>
        </w:tc>
      </w:tr>
      <w:tr>
        <w:tc>
          <w:tcPr>
            <w:tcW w:type="dxa" w:w="26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rPr>
              <w:t xml:space="preserve">Salaries (4 FTE avg.)</w:t>
            </w:r>
          </w:p>
        </w:tc>
        <w:tc>
          <w:tcPr>
            <w:tcW w:type="dxa" w:w="26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rPr>
              <w:t xml:space="preserve">90,000</w:t>
            </w:r>
          </w:p>
        </w:tc>
        <w:tc>
          <w:tcPr>
            <w:tcW w:type="dxa" w:w="41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rPr>
              <w:t xml:space="preserve">Blend of Gambia + diaspora rates</w:t>
            </w:r>
          </w:p>
        </w:tc>
      </w:tr>
      <w:tr>
        <w:tc>
          <w:tcPr>
            <w:tcW w:type="dxa" w:w="2600"/>
            <w:tcBorders>
              <w:top w:val="single" w:color="CCCCCC" w:sz="6"/>
              <w:left w:val="single" w:color="CCCCCC" w:sz="6"/>
              <w:bottom w:val="single" w:color="CCCCCC" w:sz="6"/>
              <w:right w:val="single" w:color="CCCCCC" w:sz="6"/>
            </w:tcBorders>
            <w:shd w:fill="F2F2F2" w:color="auto" w:val="clear"/>
            <w:tcMar>
              <w:top w:type="dxa" w:w="100"/>
              <w:left w:type="dxa" w:w="140"/>
              <w:bottom w:type="dxa" w:w="100"/>
              <w:right w:type="dxa" w:w="140"/>
            </w:tcMar>
          </w:tcPr>
          <w:p>
            <w:pPr>
              <w:jc w:val="left"/>
            </w:pPr>
            <w:r>
              <w:rPr>
                <w:b w:val="false"/>
                <w:bCs w:val="false"/>
              </w:rPr>
              <w:t xml:space="preserve">Infrastructure &amp; tooling</w:t>
            </w:r>
          </w:p>
        </w:tc>
        <w:tc>
          <w:tcPr>
            <w:tcW w:type="dxa" w:w="2600"/>
            <w:tcBorders>
              <w:top w:val="single" w:color="CCCCCC" w:sz="6"/>
              <w:left w:val="single" w:color="CCCCCC" w:sz="6"/>
              <w:bottom w:val="single" w:color="CCCCCC" w:sz="6"/>
              <w:right w:val="single" w:color="CCCCCC" w:sz="6"/>
            </w:tcBorders>
            <w:shd w:fill="F2F2F2" w:color="auto" w:val="clear"/>
            <w:tcMar>
              <w:top w:type="dxa" w:w="100"/>
              <w:left w:type="dxa" w:w="140"/>
              <w:bottom w:type="dxa" w:w="100"/>
              <w:right w:type="dxa" w:w="140"/>
            </w:tcMar>
          </w:tcPr>
          <w:p>
            <w:pPr>
              <w:jc w:val="left"/>
            </w:pPr>
            <w:r>
              <w:rPr>
                <w:b w:val="false"/>
                <w:bCs w:val="false"/>
              </w:rPr>
              <w:t xml:space="preserve">12,000</w:t>
            </w:r>
          </w:p>
        </w:tc>
        <w:tc>
          <w:tcPr>
            <w:tcW w:type="dxa" w:w="4160"/>
            <w:tcBorders>
              <w:top w:val="single" w:color="CCCCCC" w:sz="6"/>
              <w:left w:val="single" w:color="CCCCCC" w:sz="6"/>
              <w:bottom w:val="single" w:color="CCCCCC" w:sz="6"/>
              <w:right w:val="single" w:color="CCCCCC" w:sz="6"/>
            </w:tcBorders>
            <w:shd w:fill="F2F2F2" w:color="auto" w:val="clear"/>
            <w:tcMar>
              <w:top w:type="dxa" w:w="100"/>
              <w:left w:type="dxa" w:w="140"/>
              <w:bottom w:type="dxa" w:w="100"/>
              <w:right w:type="dxa" w:w="140"/>
            </w:tcMar>
          </w:tcPr>
          <w:p>
            <w:pPr>
              <w:jc w:val="left"/>
            </w:pPr>
            <w:r>
              <w:rPr>
                <w:b w:val="false"/>
                <w:bCs w:val="false"/>
              </w:rPr>
              <w:t xml:space="preserve">Hosting, search, SMS, WhatsApp API</w:t>
            </w:r>
          </w:p>
        </w:tc>
      </w:tr>
      <w:tr>
        <w:tc>
          <w:tcPr>
            <w:tcW w:type="dxa" w:w="26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rPr>
              <w:t xml:space="preserve">Marketing &amp; launch</w:t>
            </w:r>
          </w:p>
        </w:tc>
        <w:tc>
          <w:tcPr>
            <w:tcW w:type="dxa" w:w="26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rPr>
              <w:t xml:space="preserve">25,000</w:t>
            </w:r>
          </w:p>
        </w:tc>
        <w:tc>
          <w:tcPr>
            <w:tcW w:type="dxa" w:w="41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rPr>
              <w:t xml:space="preserve">Radio, influencers, referral incentives</w:t>
            </w:r>
          </w:p>
        </w:tc>
      </w:tr>
      <w:tr>
        <w:tc>
          <w:tcPr>
            <w:tcW w:type="dxa" w:w="2600"/>
            <w:tcBorders>
              <w:top w:val="single" w:color="CCCCCC" w:sz="6"/>
              <w:left w:val="single" w:color="CCCCCC" w:sz="6"/>
              <w:bottom w:val="single" w:color="CCCCCC" w:sz="6"/>
              <w:right w:val="single" w:color="CCCCCC" w:sz="6"/>
            </w:tcBorders>
            <w:shd w:fill="F2F2F2" w:color="auto" w:val="clear"/>
            <w:tcMar>
              <w:top w:type="dxa" w:w="100"/>
              <w:left w:type="dxa" w:w="140"/>
              <w:bottom w:type="dxa" w:w="100"/>
              <w:right w:type="dxa" w:w="140"/>
            </w:tcMar>
          </w:tcPr>
          <w:p>
            <w:pPr>
              <w:jc w:val="left"/>
            </w:pPr>
            <w:r>
              <w:rPr>
                <w:b w:val="false"/>
                <w:bCs w:val="false"/>
              </w:rPr>
              <w:t xml:space="preserve">Legal, licensing, admin</w:t>
            </w:r>
          </w:p>
        </w:tc>
        <w:tc>
          <w:tcPr>
            <w:tcW w:type="dxa" w:w="2600"/>
            <w:tcBorders>
              <w:top w:val="single" w:color="CCCCCC" w:sz="6"/>
              <w:left w:val="single" w:color="CCCCCC" w:sz="6"/>
              <w:bottom w:val="single" w:color="CCCCCC" w:sz="6"/>
              <w:right w:val="single" w:color="CCCCCC" w:sz="6"/>
            </w:tcBorders>
            <w:shd w:fill="F2F2F2" w:color="auto" w:val="clear"/>
            <w:tcMar>
              <w:top w:type="dxa" w:w="100"/>
              <w:left w:type="dxa" w:w="140"/>
              <w:bottom w:type="dxa" w:w="100"/>
              <w:right w:type="dxa" w:w="140"/>
            </w:tcMar>
          </w:tcPr>
          <w:p>
            <w:pPr>
              <w:jc w:val="left"/>
            </w:pPr>
            <w:r>
              <w:rPr>
                <w:b w:val="false"/>
                <w:bCs w:val="false"/>
              </w:rPr>
              <w:t xml:space="preserve">8,000</w:t>
            </w:r>
          </w:p>
        </w:tc>
        <w:tc>
          <w:tcPr>
            <w:tcW w:type="dxa" w:w="4160"/>
            <w:tcBorders>
              <w:top w:val="single" w:color="CCCCCC" w:sz="6"/>
              <w:left w:val="single" w:color="CCCCCC" w:sz="6"/>
              <w:bottom w:val="single" w:color="CCCCCC" w:sz="6"/>
              <w:right w:val="single" w:color="CCCCCC" w:sz="6"/>
            </w:tcBorders>
            <w:shd w:fill="F2F2F2" w:color="auto" w:val="clear"/>
            <w:tcMar>
              <w:top w:type="dxa" w:w="100"/>
              <w:left w:type="dxa" w:w="140"/>
              <w:bottom w:type="dxa" w:w="100"/>
              <w:right w:type="dxa" w:w="140"/>
            </w:tcMar>
          </w:tcPr>
          <w:p>
            <w:pPr>
              <w:jc w:val="left"/>
            </w:pPr>
            <w:r>
              <w:rPr>
                <w:b w:val="false"/>
                <w:bCs w:val="false"/>
              </w:rPr>
              <w:t xml:space="preserve">Company setup, data protection, trademarks</w:t>
            </w:r>
          </w:p>
        </w:tc>
      </w:tr>
      <w:tr>
        <w:tc>
          <w:tcPr>
            <w:tcW w:type="dxa" w:w="26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rPr>
              <w:t xml:space="preserve">Contingency (15%)</w:t>
            </w:r>
          </w:p>
        </w:tc>
        <w:tc>
          <w:tcPr>
            <w:tcW w:type="dxa" w:w="26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rPr>
              <w:t xml:space="preserve">20,000</w:t>
            </w:r>
          </w:p>
        </w:tc>
        <w:tc>
          <w:tcPr>
            <w:tcW w:type="dxa" w:w="41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rPr>
              <w:t xml:space="preserve"/>
            </w:r>
          </w:p>
        </w:tc>
      </w:tr>
      <w:tr>
        <w:tc>
          <w:tcPr>
            <w:tcW w:type="dxa" w:w="2600"/>
            <w:tcBorders>
              <w:top w:val="single" w:color="CCCCCC" w:sz="6"/>
              <w:left w:val="single" w:color="CCCCCC" w:sz="6"/>
              <w:bottom w:val="single" w:color="CCCCCC" w:sz="6"/>
              <w:right w:val="single" w:color="CCCCCC" w:sz="6"/>
            </w:tcBorders>
            <w:shd w:fill="F2F2F2" w:color="auto" w:val="clear"/>
            <w:tcMar>
              <w:top w:type="dxa" w:w="100"/>
              <w:left w:type="dxa" w:w="140"/>
              <w:bottom w:type="dxa" w:w="100"/>
              <w:right w:type="dxa" w:w="140"/>
            </w:tcMar>
          </w:tcPr>
          <w:p>
            <w:pPr>
              <w:jc w:val="left"/>
            </w:pPr>
            <w:r>
              <w:rPr>
                <w:b w:val="false"/>
                <w:bCs w:val="false"/>
              </w:rPr>
              <w:t xml:space="preserve">Total</w:t>
            </w:r>
          </w:p>
        </w:tc>
        <w:tc>
          <w:tcPr>
            <w:tcW w:type="dxa" w:w="2600"/>
            <w:tcBorders>
              <w:top w:val="single" w:color="CCCCCC" w:sz="6"/>
              <w:left w:val="single" w:color="CCCCCC" w:sz="6"/>
              <w:bottom w:val="single" w:color="CCCCCC" w:sz="6"/>
              <w:right w:val="single" w:color="CCCCCC" w:sz="6"/>
            </w:tcBorders>
            <w:shd w:fill="F2F2F2" w:color="auto" w:val="clear"/>
            <w:tcMar>
              <w:top w:type="dxa" w:w="100"/>
              <w:left w:type="dxa" w:w="140"/>
              <w:bottom w:type="dxa" w:w="100"/>
              <w:right w:type="dxa" w:w="140"/>
            </w:tcMar>
          </w:tcPr>
          <w:p>
            <w:pPr>
              <w:jc w:val="left"/>
            </w:pPr>
            <w:r>
              <w:rPr>
                <w:b w:val="false"/>
                <w:bCs w:val="false"/>
              </w:rPr>
              <w:t xml:space="preserve">155,000</w:t>
            </w:r>
          </w:p>
        </w:tc>
        <w:tc>
          <w:tcPr>
            <w:tcW w:type="dxa" w:w="4160"/>
            <w:tcBorders>
              <w:top w:val="single" w:color="CCCCCC" w:sz="6"/>
              <w:left w:val="single" w:color="CCCCCC" w:sz="6"/>
              <w:bottom w:val="single" w:color="CCCCCC" w:sz="6"/>
              <w:right w:val="single" w:color="CCCCCC" w:sz="6"/>
            </w:tcBorders>
            <w:shd w:fill="F2F2F2" w:color="auto" w:val="clear"/>
            <w:tcMar>
              <w:top w:type="dxa" w:w="100"/>
              <w:left w:type="dxa" w:w="140"/>
              <w:bottom w:type="dxa" w:w="100"/>
              <w:right w:type="dxa" w:w="140"/>
            </w:tcMar>
          </w:tcPr>
          <w:p>
            <w:pPr>
              <w:jc w:val="left"/>
            </w:pPr>
            <w:r>
              <w:rPr>
                <w:b w:val="false"/>
                <w:bCs w:val="false"/>
              </w:rPr>
              <w:t xml:space="preserve">Bootstrap + angel or impact‑investor round</w:t>
            </w:r>
          </w:p>
        </w:tc>
      </w:tr>
    </w:tbl>
    <w:p>
      <w:pPr>
        <w:pStyle w:val="Heading2"/>
      </w:pPr>
      <w:r>
        <w:t xml:space="preserve">12.3 Exit / long‑term scenarios</w:t>
      </w:r>
    </w:p>
    <w:p>
      <w:pPr>
        <w:pStyle w:val="ListParagraph"/>
        <w:numPr>
          <w:ilvl w:val="0"/>
          <w:numId w:val="2"/>
        </w:numPr>
        <w:spacing w:after="80"/>
      </w:pPr>
      <w:r>
        <w:t xml:space="preserve">Stay independent and profitable as the category leader in The Gambia.</w:t>
      </w:r>
    </w:p>
    <w:p>
      <w:pPr>
        <w:pStyle w:val="ListParagraph"/>
        <w:numPr>
          <w:ilvl w:val="0"/>
          <w:numId w:val="2"/>
        </w:numPr>
        <w:spacing w:after="80"/>
      </w:pPr>
      <w:r>
        <w:t xml:space="preserve">Regional expansion into Senegal and Sierra Leone under one brand.</w:t>
      </w:r>
    </w:p>
    <w:p>
      <w:pPr>
        <w:pStyle w:val="ListParagraph"/>
        <w:numPr>
          <w:ilvl w:val="0"/>
          <w:numId w:val="2"/>
        </w:numPr>
        <w:spacing w:after="80"/>
      </w:pPr>
      <w:r>
        <w:t xml:space="preserve">Strategic acquisition by a pan‑African group (Jiji, Jumia Classifieds, Jumia remnants).</w:t>
      </w:r>
    </w:p>
    <w:p>
      <w:pPr>
        <w:pStyle w:val="ListParagraph"/>
        <w:numPr>
          <w:ilvl w:val="0"/>
          <w:numId w:val="2"/>
        </w:numPr>
        <w:spacing w:after="80"/>
      </w:pPr>
      <w:r>
        <w:t xml:space="preserve">Acquisition by a global player (Adevinta, OLX Group) seeking West African footprint.</w:t>
      </w:r>
    </w:p>
    <w:p>
      <w:r>
        <w:br w:type="page"/>
      </w:r>
    </w:p>
    <w:p>
      <w:pPr>
        <w:pStyle w:val="Heading1"/>
      </w:pPr>
      <w:r>
        <w:t xml:space="preserve">13. Key Success Factors</w:t>
      </w:r>
    </w:p>
    <w:p>
      <w:pPr>
        <w:pStyle w:val="ListParagraph"/>
        <w:numPr>
          <w:ilvl w:val="0"/>
          <w:numId w:val="2"/>
        </w:numPr>
        <w:spacing w:after="80"/>
      </w:pPr>
      <w:r>
        <w:t xml:space="preserve">Liquidity first. Focus relentlessly on volume of active listings and response rates before monetizing.</w:t>
      </w:r>
    </w:p>
    <w:p>
      <w:pPr>
        <w:pStyle w:val="ListParagraph"/>
        <w:numPr>
          <w:ilvl w:val="0"/>
          <w:numId w:val="2"/>
        </w:numPr>
        <w:spacing w:after="80"/>
      </w:pPr>
      <w:r>
        <w:t xml:space="preserve">Local languages done well. Translations reviewed by native speakers, not just machine translation.</w:t>
      </w:r>
    </w:p>
    <w:p>
      <w:pPr>
        <w:pStyle w:val="ListParagraph"/>
        <w:numPr>
          <w:ilvl w:val="0"/>
          <w:numId w:val="2"/>
        </w:numPr>
        <w:spacing w:after="80"/>
      </w:pPr>
      <w:r>
        <w:t xml:space="preserve">Mobile money integration. If it doesn’t work on Africell Money, it doesn’t work.</w:t>
      </w:r>
    </w:p>
    <w:p>
      <w:pPr>
        <w:pStyle w:val="ListParagraph"/>
        <w:numPr>
          <w:ilvl w:val="0"/>
          <w:numId w:val="2"/>
        </w:numPr>
        <w:spacing w:after="80"/>
      </w:pPr>
      <w:r>
        <w:t xml:space="preserve">Trust as a feature. Ratings, verified IDs, moderation — every scam story kills growth.</w:t>
      </w:r>
    </w:p>
    <w:p>
      <w:pPr>
        <w:pStyle w:val="ListParagraph"/>
        <w:numPr>
          <w:ilvl w:val="0"/>
          <w:numId w:val="2"/>
        </w:numPr>
        <w:spacing w:after="80"/>
      </w:pPr>
      <w:r>
        <w:t xml:space="preserve">Partnerships with telcos. Zero‑rated access or data bundles drive huge adoption in emerging markets.</w:t>
      </w:r>
    </w:p>
    <w:p>
      <w:pPr>
        <w:pStyle w:val="ListParagraph"/>
        <w:numPr>
          <w:ilvl w:val="0"/>
          <w:numId w:val="2"/>
        </w:numPr>
        <w:spacing w:after="80"/>
      </w:pPr>
      <w:r>
        <w:t xml:space="preserve">Low burn. Bootstrap mindset; profitability before hypergrowth.</w:t>
      </w:r>
    </w:p>
    <w:p>
      <w:pPr>
        <w:pStyle w:val="Heading1"/>
      </w:pPr>
      <w:r>
        <w:t xml:space="preserve">14. Next Steps (90 days)</w:t>
      </w:r>
    </w:p>
    <w:p>
      <w:pPr>
        <w:pStyle w:val="ListParagraph"/>
        <w:numPr>
          <w:ilvl w:val="0"/>
          <w:numId w:val="2"/>
        </w:numPr>
        <w:spacing w:after="80"/>
      </w:pPr>
      <w:r>
        <w:rPr>
          <w:b/>
          <w:bCs/>
        </w:rPr>
        <w:t xml:space="preserve">Validate: </w:t>
      </w:r>
      <w:r>
        <w:t xml:space="preserve">Interview 30 sellers and 30 buyers across Banjul, Serekunda, Brikama, Farafenni. Test willingness to pay for bump‑ups and dealer plans.</w:t>
      </w:r>
    </w:p>
    <w:p>
      <w:pPr>
        <w:pStyle w:val="ListParagraph"/>
        <w:numPr>
          <w:ilvl w:val="0"/>
          <w:numId w:val="2"/>
        </w:numPr>
        <w:spacing w:after="80"/>
      </w:pPr>
      <w:r>
        <w:rPr>
          <w:b/>
          <w:bCs/>
        </w:rPr>
        <w:t xml:space="preserve">Prototype: </w:t>
      </w:r>
      <w:r>
        <w:t xml:space="preserve">Clickable Figma prototype in English + Mandinka. User‑test with 10 participants.</w:t>
      </w:r>
    </w:p>
    <w:p>
      <w:pPr>
        <w:pStyle w:val="ListParagraph"/>
        <w:numPr>
          <w:ilvl w:val="0"/>
          <w:numId w:val="2"/>
        </w:numPr>
        <w:spacing w:after="80"/>
      </w:pPr>
      <w:r>
        <w:rPr>
          <w:b/>
          <w:bCs/>
        </w:rPr>
        <w:t xml:space="preserve">Register: </w:t>
      </w:r>
      <w:r>
        <w:t xml:space="preserve">Secure marketplace.gm domain, company registration in The Gambia, trademark application.</w:t>
      </w:r>
    </w:p>
    <w:p>
      <w:pPr>
        <w:pStyle w:val="ListParagraph"/>
        <w:numPr>
          <w:ilvl w:val="0"/>
          <w:numId w:val="2"/>
        </w:numPr>
        <w:spacing w:after="80"/>
      </w:pPr>
      <w:r>
        <w:rPr>
          <w:b/>
          <w:bCs/>
        </w:rPr>
        <w:t xml:space="preserve">Partner: </w:t>
      </w:r>
      <w:r>
        <w:t xml:space="preserve">Initial conversations with Africell, QCell, GamPay, one Gambian bank.</w:t>
      </w:r>
    </w:p>
    <w:p>
      <w:pPr>
        <w:pStyle w:val="ListParagraph"/>
        <w:numPr>
          <w:ilvl w:val="0"/>
          <w:numId w:val="2"/>
        </w:numPr>
        <w:spacing w:after="80"/>
      </w:pPr>
      <w:r>
        <w:rPr>
          <w:b/>
          <w:bCs/>
        </w:rPr>
        <w:t xml:space="preserve">Build team: </w:t>
      </w:r>
      <w:r>
        <w:t xml:space="preserve">Recruit CTO and local growth lead.</w:t>
      </w:r>
    </w:p>
    <w:p>
      <w:pPr>
        <w:pStyle w:val="ListParagraph"/>
        <w:numPr>
          <w:ilvl w:val="0"/>
          <w:numId w:val="2"/>
        </w:numPr>
        <w:spacing w:after="80"/>
      </w:pPr>
      <w:r>
        <w:rPr>
          <w:b/>
          <w:bCs/>
        </w:rPr>
        <w:t xml:space="preserve">MVP scope lock: </w:t>
      </w:r>
      <w:r>
        <w:t xml:space="preserve">Finalize MVP feature list for a 4‑month build target.</w:t>
      </w:r>
    </w:p>
    <w:p>
      <w:pPr>
        <w:pStyle w:val="Heading3"/>
      </w:pPr>
      <w:r>
        <w:t xml:space="preserve">Sources &amp; references</w:t>
      </w:r>
    </w:p>
    <w:p>
      <w:pPr>
        <w:pStyle w:val="ListParagraph"/>
        <w:numPr>
          <w:ilvl w:val="0"/>
          <w:numId w:val="2"/>
        </w:numPr>
        <w:spacing w:after="80"/>
      </w:pPr>
      <w:r>
        <w:t xml:space="preserve">DataReportal — Digital 2025: The Gambia (internet &amp; mobile penetration).</w:t>
      </w:r>
    </w:p>
    <w:p>
      <w:pPr>
        <w:pStyle w:val="ListParagraph"/>
        <w:numPr>
          <w:ilvl w:val="0"/>
          <w:numId w:val="2"/>
        </w:numPr>
        <w:spacing w:after="80"/>
      </w:pPr>
      <w:r>
        <w:t xml:space="preserve">World Bank — Individuals using the internet (% of population), Gambia.</w:t>
      </w:r>
    </w:p>
    <w:p>
      <w:pPr>
        <w:pStyle w:val="ListParagraph"/>
        <w:numPr>
          <w:ilvl w:val="0"/>
          <w:numId w:val="2"/>
        </w:numPr>
        <w:spacing w:after="80"/>
      </w:pPr>
      <w:r>
        <w:t xml:space="preserve">WATRA / PURA — Gambia telecom operator landscape.</w:t>
      </w:r>
    </w:p>
    <w:p>
      <w:pPr>
        <w:pStyle w:val="ListParagraph"/>
        <w:numPr>
          <w:ilvl w:val="0"/>
          <w:numId w:val="2"/>
        </w:numPr>
        <w:spacing w:after="80"/>
      </w:pPr>
      <w:r>
        <w:t xml:space="preserve">Observational: Facebook Marketplace Banjul, eBaaba, Jumia Gambia, PriceGambia.</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08080"/>
        <w:sz w:val="18"/>
        <w:szCs w:val="18"/>
      </w:rPr>
      <w:t xml:space="preserve">Concept • April 2026</w:t>
    </w:r>
    <w:r>
      <w:rPr>
        <w:sz w:val="18"/>
        <w:szCs w:val="18"/>
      </w:rPr>
      <w:t xml:space="preserve">	</w:t>
    </w: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Marketplace.gm — Business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5F8A"/>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Marketplace.gm Business Plan</dc:title>
  <dc:creator>Claude</dc:creator>
  <dc:description>Concept document for a Gambian online marketplace, modeled on Marktplaats.nl.</dc:description>
  <cp:lastModifiedBy>Un-named</cp:lastModifiedBy>
  <cp:revision>1</cp:revision>
  <dcterms:created xsi:type="dcterms:W3CDTF">2026-04-17T22:33:49.495Z</dcterms:created>
  <dcterms:modified xsi:type="dcterms:W3CDTF">2026-04-17T22:33:49.495Z</dcterms:modified>
</cp:coreProperties>
</file>

<file path=docProps/custom.xml><?xml version="1.0" encoding="utf-8"?>
<Properties xmlns="http://schemas.openxmlformats.org/officeDocument/2006/custom-properties" xmlns:vt="http://schemas.openxmlformats.org/officeDocument/2006/docPropsVTypes"/>
</file>