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Past Initiative — Akkadian-to-English Machine Translation</w:t>
      </w:r>
    </w:p>
    <w:p>
      <w:pPr>
        <w:pStyle w:val="Heading2"/>
      </w:pPr>
      <w:r>
        <w:t>Overview</w:t>
      </w:r>
    </w:p>
    <w:p>
      <w:r>
        <w:t>This project tackles the Deep Past Initiative Machine Translation Kaggle competition. The task is to translate Old Assyrian (Akkadian) transliterations into modern English. These texts originate from cuneiform tablets dating back ~4,000 years, documenting trade records, legal contracts, and personal correspondence from ancient Mesopotamia.</w:t>
      </w:r>
    </w:p>
    <w:p>
      <w:r>
        <w:t>Competition Metric: Geometric mean of BLEU and chrF++ scores.</w:t>
      </w:r>
    </w:p>
    <w:p>
      <w:r>
        <w:t>Kaggle Profile: Jackieveloped (https://www.kaggle.com/jackieveloped)</w:t>
      </w:r>
    </w:p>
    <w:p>
      <w:pPr>
        <w:pStyle w:val="Heading2"/>
      </w:pPr>
      <w:r>
        <w:t>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Submission</w:t>
            </w:r>
          </w:p>
        </w:tc>
        <w:tc>
          <w:tcPr>
            <w:tcW w:type="dxa" w:w="2880"/>
          </w:tcPr>
          <w:p>
            <w:r>
              <w:t>Public Score</w:t>
            </w:r>
          </w:p>
        </w:tc>
        <w:tc>
          <w:tcPr>
            <w:tcW w:type="dxa" w:w="2880"/>
          </w:tcPr>
          <w:p>
            <w:r>
              <w:t>Approach</w:t>
            </w:r>
          </w:p>
        </w:tc>
      </w:tr>
      <w:tr>
        <w:tc>
          <w:tcPr>
            <w:tcW w:type="dxa" w:w="2880"/>
          </w:tcPr>
          <w:p>
            <w:r>
              <w:t>Dual ByT5 Ensemble + MBR v1</w:t>
            </w:r>
          </w:p>
        </w:tc>
        <w:tc>
          <w:tcPr>
            <w:tcW w:type="dxa" w:w="2880"/>
          </w:tcPr>
          <w:p>
            <w:r>
              <w:t>34.9</w:t>
            </w:r>
          </w:p>
        </w:tc>
        <w:tc>
          <w:tcPr>
            <w:tcW w:type="dxa" w:w="2880"/>
          </w:tcPr>
          <w:p>
            <w:r>
              <w:t>Dual ByT5 ensemble with MBR consensus decoding</w:t>
            </w:r>
          </w:p>
        </w:tc>
      </w:tr>
      <w:tr>
        <w:tc>
          <w:tcPr>
            <w:tcW w:type="dxa" w:w="2880"/>
          </w:tcPr>
          <w:p>
            <w:r>
              <w:t>Flan-T5-base Baseline</w:t>
            </w:r>
          </w:p>
        </w:tc>
        <w:tc>
          <w:tcPr>
            <w:tcW w:type="dxa" w:w="2880"/>
          </w:tcPr>
          <w:p>
            <w:r>
              <w:t>19.3</w:t>
            </w:r>
          </w:p>
        </w:tc>
        <w:tc>
          <w:tcPr>
            <w:tcW w:type="dxa" w:w="2880"/>
          </w:tcPr>
          <w:p>
            <w:r>
              <w:t>Single fine-tuned Flan-T5-base</w:t>
            </w:r>
          </w:p>
        </w:tc>
      </w:tr>
    </w:tbl>
    <w:p>
      <w:pPr>
        <w:pStyle w:val="IntenseQuote"/>
      </w:pPr>
      <w:r>
        <w:t>Best entry scored 34.9 using a dual-model ByT5 ensemble with Minimum Bayes Risk (MBR) decoding, domain-specific pre/post-processing, and proper noun lexicon-guided candidate selection.</w:t>
      </w:r>
    </w:p>
    <w:p>
      <w:pPr>
        <w:pStyle w:val="Heading2"/>
      </w:pPr>
      <w:r>
        <w:t>Dataset</w:t>
      </w:r>
    </w:p>
    <w:tbl>
      <w:tblPr>
        <w:tblStyle w:val="LightGrid-Accent1"/>
        <w:tblW w:type="auto" w:w="0"/>
        <w:tblLook w:firstColumn="1" w:firstRow="1" w:lastColumn="0" w:lastRow="0" w:noHBand="0" w:noVBand="1" w:val="04A0"/>
      </w:tblPr>
      <w:tblGrid>
        <w:gridCol w:w="4320"/>
        <w:gridCol w:w="4320"/>
      </w:tblGrid>
      <w:tr>
        <w:tc>
          <w:tcPr>
            <w:tcW w:type="dxa" w:w="4320"/>
          </w:tcPr>
          <w:p>
            <w:r>
              <w:t>Split</w:t>
            </w:r>
          </w:p>
        </w:tc>
        <w:tc>
          <w:tcPr>
            <w:tcW w:type="dxa" w:w="4320"/>
          </w:tcPr>
          <w:p>
            <w:r>
              <w:t>Examples</w:t>
            </w:r>
          </w:p>
        </w:tc>
      </w:tr>
      <w:tr>
        <w:tc>
          <w:tcPr>
            <w:tcW w:type="dxa" w:w="4320"/>
          </w:tcPr>
          <w:p>
            <w:r>
              <w:t>Train</w:t>
            </w:r>
          </w:p>
        </w:tc>
        <w:tc>
          <w:tcPr>
            <w:tcW w:type="dxa" w:w="4320"/>
          </w:tcPr>
          <w:p>
            <w:r>
              <w:t>1,561 parallel pairs (transliteration → English)</w:t>
            </w:r>
          </w:p>
        </w:tc>
      </w:tr>
      <w:tr>
        <w:tc>
          <w:tcPr>
            <w:tcW w:type="dxa" w:w="4320"/>
          </w:tcPr>
          <w:p>
            <w:r>
              <w:t>Val</w:t>
            </w:r>
          </w:p>
        </w:tc>
        <w:tc>
          <w:tcPr>
            <w:tcW w:type="dxa" w:w="4320"/>
          </w:tcPr>
          <w:p>
            <w:r>
              <w:t>156 (10% held out)</w:t>
            </w:r>
          </w:p>
        </w:tc>
      </w:tr>
      <w:tr>
        <w:tc>
          <w:tcPr>
            <w:tcW w:type="dxa" w:w="4320"/>
          </w:tcPr>
          <w:p>
            <w:r>
              <w:t>Test</w:t>
            </w:r>
          </w:p>
        </w:tc>
        <w:tc>
          <w:tcPr>
            <w:tcW w:type="dxa" w:w="4320"/>
          </w:tcPr>
          <w:p>
            <w:r>
              <w:t>4 unseen transliterations</w:t>
            </w:r>
          </w:p>
        </w:tc>
      </w:tr>
    </w:tbl>
    <w:p>
      <w:pPr>
        <w:pStyle w:val="Heading3"/>
      </w:pPr>
      <w:r>
        <w:t>Auxiliary Data</w:t>
      </w:r>
    </w:p>
    <w:p>
      <w:r>
        <w:t>The competition provides several auxiliary datasets. The OA_Lexicon_eBL.csv is actively used in the current pipeline — 13k+ proper nouns (PN, GN, DN, RN) are extracted for MBR fidelity scoring during candidate selection.</w:t>
      </w:r>
    </w:p>
    <w:p>
      <w:pPr>
        <w:pStyle w:val="Heading2"/>
      </w:pPr>
      <w:r>
        <w:t>Methodology</w:t>
      </w:r>
    </w:p>
    <w:p>
      <w:r>
        <w:t>The project evolved through two major iterations, progressively improving from a single fine-tuned model to a dual-model ensemble with consensus-based decoding.</w:t>
      </w:r>
    </w:p>
    <w:p>
      <w:pPr>
        <w:pStyle w:val="Heading3"/>
      </w:pPr>
      <w:r>
        <w:t>Iteration 1: Fine-tuned Flan-T5-base (Score: 19.3)</w:t>
      </w:r>
    </w:p>
    <w:p>
      <w:r>
        <w:t>The initial approach fine-tuned google/flan-t5-base (248M parameters) on the 1,561 training pairs. Flan-T5 was chosen because its instruction tuning enables it to understand the task prefix "translate Akkadian to English:" and its Seq2Seq architecture is standard for machine translation. Simple beam search decoding (5 beams) was used for inference.</w:t>
      </w:r>
    </w:p>
    <w:p>
      <w:r>
        <w:t>Key training configuration:</w:t>
      </w:r>
    </w:p>
    <w:tbl>
      <w:tblPr>
        <w:tblStyle w:val="LightGrid-Accent1"/>
        <w:tblW w:type="auto" w:w="0"/>
        <w:tblLook w:firstColumn="1" w:firstRow="1" w:lastColumn="0" w:lastRow="0" w:noHBand="0" w:noVBand="1" w:val="04A0"/>
      </w:tblPr>
      <w:tblGrid>
        <w:gridCol w:w="4320"/>
        <w:gridCol w:w="4320"/>
      </w:tblGrid>
      <w:tr>
        <w:tc>
          <w:tcPr>
            <w:tcW w:type="dxa" w:w="4320"/>
          </w:tcPr>
          <w:p>
            <w:r>
              <w:t>Hyperparameter</w:t>
            </w:r>
          </w:p>
        </w:tc>
        <w:tc>
          <w:tcPr>
            <w:tcW w:type="dxa" w:w="4320"/>
          </w:tcPr>
          <w:p>
            <w:r>
              <w:t>Value</w:t>
            </w:r>
          </w:p>
        </w:tc>
      </w:tr>
      <w:tr>
        <w:tc>
          <w:tcPr>
            <w:tcW w:type="dxa" w:w="4320"/>
          </w:tcPr>
          <w:p>
            <w:r>
              <w:t>Base model</w:t>
            </w:r>
          </w:p>
        </w:tc>
        <w:tc>
          <w:tcPr>
            <w:tcW w:type="dxa" w:w="4320"/>
          </w:tcPr>
          <w:p>
            <w:r>
              <w:t>google/flan-t5-base</w:t>
            </w:r>
          </w:p>
        </w:tc>
      </w:tr>
      <w:tr>
        <w:tc>
          <w:tcPr>
            <w:tcW w:type="dxa" w:w="4320"/>
          </w:tcPr>
          <w:p>
            <w:r>
              <w:t>Learning rate</w:t>
            </w:r>
          </w:p>
        </w:tc>
        <w:tc>
          <w:tcPr>
            <w:tcW w:type="dxa" w:w="4320"/>
          </w:tcPr>
          <w:p>
            <w:r>
              <w:t>3e-4</w:t>
            </w:r>
          </w:p>
        </w:tc>
      </w:tr>
      <w:tr>
        <w:tc>
          <w:tcPr>
            <w:tcW w:type="dxa" w:w="4320"/>
          </w:tcPr>
          <w:p>
            <w:r>
              <w:t>Batch size</w:t>
            </w:r>
          </w:p>
        </w:tc>
        <w:tc>
          <w:tcPr>
            <w:tcW w:type="dxa" w:w="4320"/>
          </w:tcPr>
          <w:p>
            <w:r>
              <w:t>4 (gradient accumulation 4 → effective 16)</w:t>
            </w:r>
          </w:p>
        </w:tc>
      </w:tr>
      <w:tr>
        <w:tc>
          <w:tcPr>
            <w:tcW w:type="dxa" w:w="4320"/>
          </w:tcPr>
          <w:p>
            <w:r>
              <w:t>Epochs</w:t>
            </w:r>
          </w:p>
        </w:tc>
        <w:tc>
          <w:tcPr>
            <w:tcW w:type="dxa" w:w="4320"/>
          </w:tcPr>
          <w:p>
            <w:r>
              <w:t>15 with early stopping via best eval loss</w:t>
            </w:r>
          </w:p>
        </w:tc>
      </w:tr>
      <w:tr>
        <w:tc>
          <w:tcPr>
            <w:tcW w:type="dxa" w:w="4320"/>
          </w:tcPr>
          <w:p>
            <w:r>
              <w:t>Precision</w:t>
            </w:r>
          </w:p>
        </w:tc>
        <w:tc>
          <w:tcPr>
            <w:tcW w:type="dxa" w:w="4320"/>
          </w:tcPr>
          <w:p>
            <w:r>
              <w:t>FP16 mixed precision</w:t>
            </w:r>
          </w:p>
        </w:tc>
      </w:tr>
      <w:tr>
        <w:tc>
          <w:tcPr>
            <w:tcW w:type="dxa" w:w="4320"/>
          </w:tcPr>
          <w:p>
            <w:r>
              <w:t>Best model selection</w:t>
            </w:r>
          </w:p>
        </w:tc>
        <w:tc>
          <w:tcPr>
            <w:tcW w:type="dxa" w:w="4320"/>
          </w:tcPr>
          <w:p>
            <w:r>
              <w:t>Lowest eval loss checkpoint</w:t>
            </w:r>
          </w:p>
        </w:tc>
      </w:tr>
    </w:tbl>
    <w:p>
      <w:pPr>
        <w:pStyle w:val="Heading3"/>
      </w:pPr>
      <w:r>
        <w:t>Iteration 2: Dual ByT5 Ensemble + MBR (Score: 34.9)</w:t>
      </w:r>
    </w:p>
    <w:p>
      <w:r>
        <w:t>The current best submission uses a dual-model ensemble with MBR consensus selection. Two independently pre-trained ByT5 models (~582M parameters each) generate diverse translation candidates, and a consensus algorithm selects the most agreed-upon translation.</w:t>
      </w:r>
    </w:p>
    <w:p>
      <w:pPr>
        <w:pStyle w:val="Heading4"/>
      </w:pPr>
      <w:r>
        <w:t>Stage 1: Preprocessing</w:t>
      </w:r>
    </w:p>
    <w:p>
      <w:r>
        <w:t>Akkadian transliterations require extensive normalization. The preprocessing pipeline handles ASCII-to-diacritics conversion, determinative handling, gap unification (10+ gap variants → single &lt;gap&gt; token), character cleanup, fraction normalization, and currency name expansion.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Transformation</w:t>
            </w:r>
          </w:p>
        </w:tc>
        <w:tc>
          <w:tcPr>
            <w:tcW w:type="dxa" w:w="2880"/>
          </w:tcPr>
          <w:p>
            <w:r>
              <w:t>Example</w:t>
            </w:r>
          </w:p>
        </w:tc>
        <w:tc>
          <w:tcPr>
            <w:tcW w:type="dxa" w:w="2880"/>
          </w:tcPr>
          <w:p>
            <w:r>
              <w:t>Purpose</w:t>
            </w:r>
          </w:p>
        </w:tc>
      </w:tr>
      <w:tr>
        <w:tc>
          <w:tcPr>
            <w:tcW w:type="dxa" w:w="2880"/>
          </w:tcPr>
          <w:p>
            <w:r>
              <w:t>ASCII → diacritics</w:t>
            </w:r>
          </w:p>
        </w:tc>
        <w:tc>
          <w:tcPr>
            <w:tcW w:type="dxa" w:w="2880"/>
          </w:tcPr>
          <w:p>
            <w:r>
              <w:t>a2 → á, sz → š</w:t>
            </w:r>
          </w:p>
        </w:tc>
        <w:tc>
          <w:tcPr>
            <w:tcW w:type="dxa" w:w="2880"/>
          </w:tcPr>
          <w:p>
            <w:r>
              <w:t>Standardize transliteration notation</w:t>
            </w:r>
          </w:p>
        </w:tc>
      </w:tr>
      <w:tr>
        <w:tc>
          <w:tcPr>
            <w:tcW w:type="dxa" w:w="2880"/>
          </w:tcPr>
          <w:p>
            <w:r>
              <w:t>Determinative handling</w:t>
            </w:r>
          </w:p>
        </w:tc>
        <w:tc>
          <w:tcPr>
            <w:tcW w:type="dxa" w:w="2880"/>
          </w:tcPr>
          <w:p>
            <w:r>
              <w:t>(D) → D, (d) → {d}</w:t>
            </w:r>
          </w:p>
        </w:tc>
        <w:tc>
          <w:tcPr>
            <w:tcW w:type="dxa" w:w="2880"/>
          </w:tcPr>
          <w:p>
            <w:r>
              <w:t>Separate semantic classifiers</w:t>
            </w:r>
          </w:p>
        </w:tc>
      </w:tr>
      <w:tr>
        <w:tc>
          <w:tcPr>
            <w:tcW w:type="dxa" w:w="2880"/>
          </w:tcPr>
          <w:p>
            <w:r>
              <w:t>Gap unification</w:t>
            </w:r>
          </w:p>
        </w:tc>
        <w:tc>
          <w:tcPr>
            <w:tcW w:type="dxa" w:w="2880"/>
          </w:tcPr>
          <w:p>
            <w:r>
              <w:t>[x], ..., (break) → &lt;gap&gt;</w:t>
            </w:r>
          </w:p>
        </w:tc>
        <w:tc>
          <w:tcPr>
            <w:tcW w:type="dxa" w:w="2880"/>
          </w:tcPr>
          <w:p>
            <w:r>
              <w:t>Normalize gap variants</w:t>
            </w:r>
          </w:p>
        </w:tc>
      </w:tr>
      <w:tr>
        <w:tc>
          <w:tcPr>
            <w:tcW w:type="dxa" w:w="2880"/>
          </w:tcPr>
          <w:p>
            <w:r>
              <w:t>Fraction normalization</w:t>
            </w:r>
          </w:p>
        </w:tc>
        <w:tc>
          <w:tcPr>
            <w:tcW w:type="dxa" w:w="2880"/>
          </w:tcPr>
          <w:p>
            <w:r>
              <w:t>0.3333 → ⅓</w:t>
            </w:r>
          </w:p>
        </w:tc>
        <w:tc>
          <w:tcPr>
            <w:tcW w:type="dxa" w:w="2880"/>
          </w:tcPr>
          <w:p>
            <w:r>
              <w:t>Standardize numbers</w:t>
            </w:r>
          </w:p>
        </w:tc>
      </w:tr>
      <w:tr>
        <w:tc>
          <w:tcPr>
            <w:tcW w:type="dxa" w:w="2880"/>
          </w:tcPr>
          <w:p>
            <w:r>
              <w:t>Currency normalization</w:t>
            </w:r>
          </w:p>
        </w:tc>
        <w:tc>
          <w:tcPr>
            <w:tcW w:type="dxa" w:w="2880"/>
          </w:tcPr>
          <w:p>
            <w:r>
              <w:t>KÙ.B. → KÙ.BABBAR</w:t>
            </w:r>
          </w:p>
        </w:tc>
        <w:tc>
          <w:tcPr>
            <w:tcW w:type="dxa" w:w="2880"/>
          </w:tcPr>
          <w:p>
            <w:r>
              <w:t>Fix truncated commodity names</w:t>
            </w:r>
          </w:p>
        </w:tc>
      </w:tr>
    </w:tbl>
    <w:p>
      <w:pPr>
        <w:pStyle w:val="Heading4"/>
      </w:pPr>
      <w:r>
        <w:t>Stage 2: Dual-Model Inference</w:t>
      </w:r>
    </w:p>
    <w:p>
      <w:r>
        <w:t>Two pre-trained ByT5 models generate translation candidates independently:</w:t>
      </w:r>
    </w:p>
    <w:p>
      <w:pPr>
        <w:pStyle w:val="ListBullet"/>
      </w:pPr>
      <w:r>
        <w:t>Model A (byt5-akkadian-optimized-34x) — optimized for general translation quality</w:t>
      </w:r>
    </w:p>
    <w:p>
      <w:pPr>
        <w:pStyle w:val="ListBullet"/>
      </w:pPr>
      <w:r>
        <w:t>Model B (byt5-akkadian-mbr) — trained with MBR-oriented objectives</w:t>
      </w:r>
    </w:p>
    <w:p>
      <w:r>
        <w:t>Each model generates 4 beam search candidates + 2 stochastic sampling candidates per input, yielding a pool of 12 diverse candidates per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Purpose</w:t>
            </w:r>
          </w:p>
        </w:tc>
      </w:tr>
      <w:tr>
        <w:tc>
          <w:tcPr>
            <w:tcW w:type="dxa" w:w="2880"/>
          </w:tcPr>
          <w:p>
            <w:r>
              <w:t>num_beams</w:t>
            </w:r>
          </w:p>
        </w:tc>
        <w:tc>
          <w:tcPr>
            <w:tcW w:type="dxa" w:w="2880"/>
          </w:tcPr>
          <w:p>
            <w:r>
              <w:t>8</w:t>
            </w:r>
          </w:p>
        </w:tc>
        <w:tc>
          <w:tcPr>
            <w:tcW w:type="dxa" w:w="2880"/>
          </w:tcPr>
          <w:p>
            <w:r>
              <w:t>Wide beam for diverse hypotheses</w:t>
            </w:r>
          </w:p>
        </w:tc>
      </w:tr>
      <w:tr>
        <w:tc>
          <w:tcPr>
            <w:tcW w:type="dxa" w:w="2880"/>
          </w:tcPr>
          <w:p>
            <w:r>
              <w:t>length_penalty</w:t>
            </w:r>
          </w:p>
        </w:tc>
        <w:tc>
          <w:tcPr>
            <w:tcW w:type="dxa" w:w="2880"/>
          </w:tcPr>
          <w:p>
            <w:r>
              <w:t>1.3</w:t>
            </w:r>
          </w:p>
        </w:tc>
        <w:tc>
          <w:tcPr>
            <w:tcW w:type="dxa" w:w="2880"/>
          </w:tcPr>
          <w:p>
            <w:r>
              <w:t>Prefer longer, more complete translations</w:t>
            </w:r>
          </w:p>
        </w:tc>
      </w:tr>
      <w:tr>
        <w:tc>
          <w:tcPr>
            <w:tcW w:type="dxa" w:w="2880"/>
          </w:tcPr>
          <w:p>
            <w:r>
              <w:t>repetition_penalty</w:t>
            </w:r>
          </w:p>
        </w:tc>
        <w:tc>
          <w:tcPr>
            <w:tcW w:type="dxa" w:w="2880"/>
          </w:tcPr>
          <w:p>
            <w:r>
              <w:t>1.2</w:t>
            </w:r>
          </w:p>
        </w:tc>
        <w:tc>
          <w:tcPr>
            <w:tcW w:type="dxa" w:w="2880"/>
          </w:tcPr>
          <w:p>
            <w:r>
              <w:t>Discourage repetitive output</w:t>
            </w:r>
          </w:p>
        </w:tc>
      </w:tr>
      <w:tr>
        <w:tc>
          <w:tcPr>
            <w:tcW w:type="dxa" w:w="2880"/>
          </w:tcPr>
          <w:p>
            <w:r>
              <w:t>sample_top_p</w:t>
            </w:r>
          </w:p>
        </w:tc>
        <w:tc>
          <w:tcPr>
            <w:tcW w:type="dxa" w:w="2880"/>
          </w:tcPr>
          <w:p>
            <w:r>
              <w:t>0.92</w:t>
            </w:r>
          </w:p>
        </w:tc>
        <w:tc>
          <w:tcPr>
            <w:tcW w:type="dxa" w:w="2880"/>
          </w:tcPr>
          <w:p>
            <w:r>
              <w:t>Nucleus sampling threshold</w:t>
            </w:r>
          </w:p>
        </w:tc>
      </w:tr>
      <w:tr>
        <w:tc>
          <w:tcPr>
            <w:tcW w:type="dxa" w:w="2880"/>
          </w:tcPr>
          <w:p>
            <w:r>
              <w:t>sample_temperature</w:t>
            </w:r>
          </w:p>
        </w:tc>
        <w:tc>
          <w:tcPr>
            <w:tcW w:type="dxa" w:w="2880"/>
          </w:tcPr>
          <w:p>
            <w:r>
              <w:t>0.75</w:t>
            </w:r>
          </w:p>
        </w:tc>
        <w:tc>
          <w:tcPr>
            <w:tcW w:type="dxa" w:w="2880"/>
          </w:tcPr>
          <w:p>
            <w:r>
              <w:t>Moderate randomness for diversity</w:t>
            </w:r>
          </w:p>
        </w:tc>
      </w:tr>
    </w:tbl>
    <w:p>
      <w:r>
        <w:t>Engineering optimizations:</w:t>
      </w:r>
    </w:p>
    <w:p>
      <w:pPr>
        <w:pStyle w:val="ListBullet"/>
      </w:pPr>
      <w:r>
        <w:t>BF16 autocast — reduces VRAM usage by ~40% on supported GPUs</w:t>
      </w:r>
    </w:p>
    <w:p>
      <w:pPr>
        <w:pStyle w:val="ListBullet"/>
      </w:pPr>
      <w:r>
        <w:t>Bucket batching — groups similar-length inputs to minimize padding waste</w:t>
      </w:r>
    </w:p>
    <w:p>
      <w:pPr>
        <w:pStyle w:val="ListBullet"/>
      </w:pPr>
      <w:r>
        <w:t>OOM protection — gracefully skips batches on GPU memory overflow</w:t>
      </w:r>
    </w:p>
    <w:p>
      <w:pPr>
        <w:pStyle w:val="ListBullet"/>
      </w:pPr>
      <w:r>
        <w:t>Sequential model loading — loads one model at a time to fit within 16GB VRAM</w:t>
      </w:r>
    </w:p>
    <w:p>
      <w:pPr>
        <w:pStyle w:val="Heading4"/>
      </w:pPr>
      <w:r>
        <w:t>Stage 3: Postprocessing</w:t>
      </w:r>
    </w:p>
    <w:p>
      <w:r>
        <w:t>Model outputs are cleaned before MBR selection:</w:t>
      </w:r>
    </w:p>
    <w:p>
      <w:pPr>
        <w:pStyle w:val="ListBullet"/>
      </w:pPr>
      <w:r>
        <w:t>Gap and PN token unification</w:t>
      </w:r>
    </w:p>
    <w:p>
      <w:pPr>
        <w:pStyle w:val="ListBullet"/>
      </w:pPr>
      <w:r>
        <w:t>Grammar marker removal (fem., pl., sing.)</w:t>
      </w:r>
    </w:p>
    <w:p>
      <w:pPr>
        <w:pStyle w:val="ListBullet"/>
      </w:pPr>
      <w:r>
        <w:t>Shekel fraction normalization (e.g., 5/12 shekels → ⅔ shekel 15 grains)</w:t>
      </w:r>
    </w:p>
    <w:p>
      <w:pPr>
        <w:pStyle w:val="ListBullet"/>
      </w:pPr>
      <w:r>
        <w:t>Commodity name expansion (e.g., -gold → pašallum gold)</w:t>
      </w:r>
    </w:p>
    <w:p>
      <w:pPr>
        <w:pStyle w:val="ListBullet"/>
      </w:pPr>
      <w:r>
        <w:t>Month numeral conversion (Roman → Arabic)</w:t>
      </w:r>
    </w:p>
    <w:p>
      <w:pPr>
        <w:pStyle w:val="ListBullet"/>
      </w:pPr>
      <w:r>
        <w:t>Repeated word/phrase deduplication</w:t>
      </w:r>
    </w:p>
    <w:p>
      <w:pPr>
        <w:pStyle w:val="Heading4"/>
      </w:pPr>
      <w:r>
        <w:t>Stage 4: MBR Consensus Selection</w:t>
      </w:r>
    </w:p>
    <w:p>
      <w:r>
        <w:t>Instead of simply taking the top-1 beam search result, MBR selects the candidate with the highest average agreement against all other candidates in the pool. The scoring function combines:</w:t>
      </w:r>
    </w:p>
    <w:p>
      <w:pPr>
        <w:pStyle w:val="ListNumber"/>
      </w:pPr>
      <w:r>
        <w:t>chrF++ consensus (80%) — measures character + word n-gram overlap between candidate pairs, selecting the translation most consistent with the overall pool</w:t>
      </w:r>
    </w:p>
    <w:p>
      <w:pPr>
        <w:pStyle w:val="ListNumber"/>
      </w:pPr>
      <w:r>
        <w:t>Proper noun fidelity (20%) — checks whether expected proper nouns (from a 13k-entry lexicon) appear in the candidate translation</w:t>
      </w:r>
    </w:p>
    <w:p>
      <w:pPr>
        <w:pStyle w:val="ListNumber"/>
      </w:pPr>
      <w:r>
        <w:t>Agreement bonus — small boost for candidates that appear identically from multiple models</w:t>
      </w:r>
    </w:p>
    <w:p>
      <w:r>
        <w:t>The chrF++ implementation follows the sacrebleu algorithm: per-order F-score computation with character 6-gram + word 2-gram, weighted average, beta=2.0. It is implemented from scratch to avoid external dependencies in the offline Kaggle environment.</w:t>
      </w:r>
    </w:p>
    <w:p>
      <w:pPr>
        <w:pStyle w:val="Heading2"/>
      </w:pPr>
      <w:r>
        <w:t>Project Structure</w:t>
      </w:r>
    </w:p>
    <w:p>
      <w:r>
        <w:t>deep-past-initiative-machine-translation/</w:t>
        <w:br/>
        <w:t>├── data/                        # Raw competition data</w:t>
        <w:br/>
        <w:t>│   ├── train.csv                # 1,561 parallel pairs</w:t>
        <w:br/>
        <w:t>│   ├── test.csv                 # Test transliterations</w:t>
        <w:br/>
        <w:t>│   ├── OA_Lexicon_eBL.csv       # Akkadian lexicon (used for MBR)</w:t>
        <w:br/>
        <w:t>│   └── ...                      # Other auxiliary data</w:t>
        <w:br/>
        <w:t>├── doc/</w:t>
        <w:br/>
        <w:t>│   ├── deep-past.docx           # Project documentation</w:t>
        <w:br/>
        <w:t>│   └── image.png                # Kaggle submission screenshot</w:t>
        <w:br/>
        <w:t>├── notebook.ipynb               # Iteration 1: Flan-T5 training</w:t>
        <w:br/>
        <w:t>├── submission_notebook.ipynb    # Iteration 2: Dual ByT5 ensemble + MBR</w:t>
        <w:br/>
        <w:t>└── README.MD</w:t>
      </w:r>
    </w:p>
    <w:p>
      <w:pPr>
        <w:pStyle w:val="Heading2"/>
      </w:pPr>
      <w:r>
        <w:t>How to Run</w:t>
      </w:r>
    </w:p>
    <w:p>
      <w:pPr>
        <w:pStyle w:val="Heading3"/>
      </w:pPr>
      <w:r>
        <w:t>Kaggle Submission (Current Best)</w:t>
      </w:r>
    </w:p>
    <w:p>
      <w:pPr>
        <w:pStyle w:val="ListNumber"/>
      </w:pPr>
      <w:r>
        <w:t>Create a new Kaggle notebook and upload submission_notebook.ipynb.</w:t>
      </w:r>
    </w:p>
    <w:p>
      <w:pPr>
        <w:pStyle w:val="ListNumber"/>
      </w:pPr>
      <w:r>
        <w:t>Attach inputs: Competition data, assiaben/final-byt5 (Model A), mattiaangeli/byt5-akkadian-mbr (Model B).</w:t>
      </w:r>
    </w:p>
    <w:p>
      <w:pPr>
        <w:pStyle w:val="ListNumber"/>
      </w:pPr>
      <w:r>
        <w:t>Enable GPU (P100 or T4), disable internet, and run all cells.</w:t>
      </w:r>
    </w:p>
    <w:p>
      <w:pPr>
        <w:pStyle w:val="ListNumber"/>
      </w:pPr>
      <w:r>
        <w:t>Submit the generated submission.csv.</w:t>
      </w:r>
    </w:p>
    <w:p>
      <w:pPr>
        <w:pStyle w:val="Heading2"/>
      </w:pPr>
      <w:r>
        <w:t>Dependencies</w:t>
      </w:r>
    </w:p>
    <w:p>
      <w:r>
        <w:t>All dependencies are pre-installed in the Kaggle environment — no internet required at submission time.</w:t>
      </w:r>
    </w:p>
    <w:p>
      <w:pPr>
        <w:pStyle w:val="ListBullet"/>
      </w:pPr>
      <w:r>
        <w:t>torch — PyTorch backend</w:t>
      </w:r>
    </w:p>
    <w:p>
      <w:pPr>
        <w:pStyle w:val="ListBullet"/>
      </w:pPr>
      <w:r>
        <w:t>transformers — model loading, tokenization, generation</w:t>
      </w:r>
    </w:p>
    <w:p>
      <w:pPr>
        <w:pStyle w:val="ListBullet"/>
      </w:pPr>
      <w:r>
        <w:t>pandas / numpy — data manipulation</w:t>
      </w:r>
    </w:p>
    <w:p>
      <w:pPr>
        <w:pStyle w:val="ListBullet"/>
      </w:pPr>
      <w:r>
        <w:t>tqdm — progress bars</w:t>
      </w:r>
    </w:p>
    <w:p>
      <w:r>
        <w:t>The chrF++ metric for MBR scoring is implemented from scratch to avoid needing sacrebleu installation.</w:t>
      </w:r>
    </w:p>
    <w:p>
      <w:pPr>
        <w:pStyle w:val="Heading2"/>
      </w:pPr>
      <w:r>
        <w:t>Challenges &amp; Lessons Learned</w:t>
      </w:r>
    </w:p>
    <w:p>
      <w:pPr>
        <w:pStyle w:val="ListBullet"/>
      </w:pPr>
      <w:r>
        <w:t>Low-resource translation: With only 1,561 training pairs, transfer learning from pretrained models is essential. The jump from Flan-T5-base (19.3) to pre-trained ByT5 ensemble (34.9) demonstrates the value of domain-specific pretraining.</w:t>
      </w:r>
    </w:p>
    <w:p>
      <w:pPr>
        <w:pStyle w:val="ListBullet"/>
      </w:pPr>
      <w:r>
        <w:t>Byte-level tokenization matters: ByT5 operates at the byte level, handling Akkadian's special characters (diacritics, subscripts) natively without tokenizer vocabulary issues.</w:t>
      </w:r>
    </w:p>
    <w:p>
      <w:pPr>
        <w:pStyle w:val="ListBullet"/>
      </w:pPr>
      <w:r>
        <w:t>Ensemble diversity: Using two independently trained models with different objectives produces candidates that fail in different ways, allowing MBR consensus to select more robust translations.</w:t>
      </w:r>
    </w:p>
    <w:p>
      <w:pPr>
        <w:pStyle w:val="ListBullet"/>
      </w:pPr>
      <w:r>
        <w:t>MBR &gt; top-1 beam: Simply taking the highest-probability beam output misses cases where the model is confidently wrong. MBR consensus corrects this by favoring translations that multiple hypotheses agree on.</w:t>
      </w:r>
    </w:p>
    <w:p>
      <w:pPr>
        <w:pStyle w:val="ListBullet"/>
      </w:pPr>
      <w:r>
        <w:t>Proper noun preservation: Akkadian texts contain many proper nouns that should be transliterated rather than translated. The lexicon-guided fidelity score helps MBR prefer candidates that preserve these correctly.</w:t>
      </w:r>
    </w:p>
    <w:p>
      <w:pPr>
        <w:pStyle w:val="ListBullet"/>
      </w:pPr>
      <w:r>
        <w:t>Offline constraints: The Kaggle submission environment has no internet access, requiring all dependencies to be either pre-installed or implemented from scratch.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