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left"/>
      </w:pPr>
      <w:r>
        <w:rPr>
          <w:rFonts w:ascii="Arial" w:cs="Arial" w:eastAsia="Arial" w:hAnsi="Arial"/>
          <w:b/>
          <w:bCs/>
          <w:color w:val="185FA5"/>
          <w:sz w:val="52"/>
          <w:szCs w:val="52"/>
        </w:rPr>
        <w:t xml:space="preserve">MILLPRESS</w:t>
      </w:r>
    </w:p>
    <w:p>
      <w:pPr>
        <w:spacing w:after="60" w:before="0"/>
        <w:jc w:val="left"/>
      </w:pPr>
      <w:r>
        <w:rPr>
          <w:rFonts w:ascii="Arial" w:cs="Arial" w:eastAsia="Arial" w:hAnsi="Arial"/>
          <w:b w:val="false"/>
          <w:bCs w:val="false"/>
          <w:color w:val="1A1A1A"/>
          <w:sz w:val="40"/>
          <w:szCs w:val="40"/>
        </w:rPr>
        <w:t xml:space="preserve">Pricing &amp; Subscription Plans</w:t>
      </w:r>
    </w:p>
    <w:p>
      <w:pPr>
        <w:spacing w:after="300" w:before="0"/>
        <w:jc w:val="left"/>
      </w:pPr>
      <w:r>
        <w:rPr>
          <w:rFonts w:ascii="Arial" w:cs="Arial" w:eastAsia="Arial" w:hAnsi="Arial"/>
          <w:color w:val="555555"/>
          <w:sz w:val="22"/>
          <w:szCs w:val="22"/>
        </w:rPr>
        <w:t xml:space="preserve">Internal Team Brief  ·  May 2026</w:t>
      </w:r>
    </w:p>
    <w:p>
      <w:pPr>
        <w:pBdr>
          <w:bottom w:val="single" w:color="185FA5" w:sz="4" w:space="1"/>
        </w:pBdr>
        <w:spacing w:after="20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0C447C"/>
                <w:sz w:val="22"/>
                <w:szCs w:val="22"/>
              </w:rPr>
              <w:t xml:space="preserve">Purpose of this document</w:t>
            </w:r>
          </w:p>
          <w:p>
            <w:pPr>
              <w:spacing w:after="60" w:before="0"/>
              <w:jc w:val="left"/>
            </w:pPr>
            <w:r>
              <w:rPr>
                <w:rFonts w:ascii="Arial" w:cs="Arial" w:eastAsia="Arial" w:hAnsi="Arial"/>
                <w:b w:val="false"/>
                <w:bCs w:val="false"/>
                <w:i w:val="false"/>
                <w:iCs w:val="false"/>
                <w:color w:val="555555"/>
                <w:sz w:val="20"/>
                <w:szCs w:val="20"/>
              </w:rPr>
              <w:t xml:space="preserve">This brief sets out the recommended subscription model for Millpress — covering both individual learners and organisations. It defines the free tier, paid tiers, pricing rationale, and implementation priorities. Use this as the shared reference when aligning product, engineering, and commercial decisions.</w:t>
            </w:r>
          </w:p>
        </w:tc>
      </w:tr>
    </w:tbl>
    <w:p>
      <w:pPr>
        <w:spacing w:after="0" w:before="300"/>
      </w:pPr>
      <w:r>
        <w:t xml:space="preserve"/>
      </w:r>
    </w:p>
    <w:p>
      <w:pPr>
        <w:pStyle w:val="Heading1"/>
        <w:spacing w:after="120" w:before="340"/>
      </w:pPr>
      <w:r>
        <w:rPr>
          <w:rFonts w:ascii="Arial" w:cs="Arial" w:eastAsia="Arial" w:hAnsi="Arial"/>
          <w:b/>
          <w:bCs/>
          <w:color w:val="185FA5"/>
          <w:sz w:val="32"/>
          <w:szCs w:val="32"/>
        </w:rPr>
        <w:t xml:space="preserve">1. Guiding principle</w:t>
      </w:r>
    </w:p>
    <w:p>
      <w:pPr>
        <w:spacing w:after="80" w:before="0"/>
        <w:jc w:val="left"/>
      </w:pPr>
      <w:r>
        <w:rPr>
          <w:rFonts w:ascii="Arial" w:cs="Arial" w:eastAsia="Arial" w:hAnsi="Arial"/>
          <w:b w:val="false"/>
          <w:bCs w:val="false"/>
          <w:i w:val="false"/>
          <w:iCs w:val="false"/>
          <w:color w:val="555555"/>
          <w:sz w:val="22"/>
          <w:szCs w:val="22"/>
        </w:rPr>
        <w:t xml:space="preserve">Millpress exists to make reading and writing skills accessible to people from all financial backgrounds. This shapes every pricing decision. The free tier must be genuinely useful — not a teaser — for users who cannot afford to pay. Revenue is generated from users who want to go further, and from organisations that use the platform at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F6E56" w:sz="1"/>
              <w:left w:val="single" w:color="0F6E56" w:sz="1"/>
              <w:bottom w:val="single" w:color="0F6E56" w:sz="1"/>
              <w:right w:val="single" w:color="0F6E56" w:sz="1"/>
            </w:tcBorders>
            <w:shd w:fill="E1F5EE"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F6E56"/>
                <w:sz w:val="20"/>
                <w:szCs w:val="20"/>
              </w:rPr>
              <w:t xml:space="preserve">Free tier</w:t>
            </w:r>
          </w:p>
          <w:p>
            <w:pPr>
              <w:spacing w:after="60" w:before="0"/>
              <w:jc w:val="left"/>
            </w:pPr>
            <w:r>
              <w:rPr>
                <w:rFonts w:ascii="Arial" w:cs="Arial" w:eastAsia="Arial" w:hAnsi="Arial"/>
                <w:b w:val="false"/>
                <w:bCs w:val="false"/>
                <w:i w:val="false"/>
                <w:iCs w:val="false"/>
                <w:color w:val="555555"/>
                <w:sz w:val="19"/>
                <w:szCs w:val="19"/>
              </w:rPr>
              <w:t xml:space="preserve">Must cover full beginner-level literacy. No artificial time limits, no credit card required.</w:t>
            </w:r>
          </w:p>
        </w:tc>
        <w:tc>
          <w:tcPr>
            <w:tcW w:type="dxa" w:w="336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C447C"/>
                <w:sz w:val="20"/>
                <w:szCs w:val="20"/>
              </w:rPr>
              <w:t xml:space="preserve">Individual premium</w:t>
            </w:r>
          </w:p>
          <w:p>
            <w:pPr>
              <w:spacing w:after="60" w:before="0"/>
              <w:jc w:val="left"/>
            </w:pPr>
            <w:r>
              <w:rPr>
                <w:rFonts w:ascii="Arial" w:cs="Arial" w:eastAsia="Arial" w:hAnsi="Arial"/>
                <w:b w:val="false"/>
                <w:bCs w:val="false"/>
                <w:i w:val="false"/>
                <w:iCs w:val="false"/>
                <w:color w:val="555555"/>
                <w:sz w:val="19"/>
                <w:szCs w:val="19"/>
              </w:rPr>
              <w:t xml:space="preserve">Unlocks intermediate and advanced content plus power features for learners who want to go further.</w:t>
            </w:r>
          </w:p>
        </w:tc>
        <w:tc>
          <w:tcPr>
            <w:tcW w:type="dxa" w:w="3360"/>
            <w:tcBorders>
              <w:top w:val="single" w:color="3C3489" w:sz="1"/>
              <w:left w:val="single" w:color="3C3489" w:sz="1"/>
              <w:bottom w:val="single" w:color="3C3489" w:sz="1"/>
              <w:right w:val="single" w:color="3C3489" w:sz="1"/>
            </w:tcBorders>
            <w:shd w:fill="EEEDFE"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C3489"/>
                <w:sz w:val="20"/>
                <w:szCs w:val="20"/>
              </w:rPr>
              <w:t xml:space="preserve">Organisation plans</w:t>
            </w:r>
          </w:p>
          <w:p>
            <w:pPr>
              <w:spacing w:after="60" w:before="0"/>
              <w:jc w:val="left"/>
            </w:pPr>
            <w:r>
              <w:rPr>
                <w:rFonts w:ascii="Arial" w:cs="Arial" w:eastAsia="Arial" w:hAnsi="Arial"/>
                <w:b w:val="false"/>
                <w:bCs w:val="false"/>
                <w:i w:val="false"/>
                <w:iCs w:val="false"/>
                <w:color w:val="555555"/>
                <w:sz w:val="19"/>
                <w:szCs w:val="19"/>
              </w:rPr>
              <w:t xml:space="preserve">Dashboard access, bulk seat management, analytics, and content tools for schools, NGOs, and enterprises.</w:t>
            </w:r>
          </w:p>
        </w:tc>
      </w:tr>
    </w:tbl>
    <w:p>
      <w:pPr>
        <w:spacing w:after="0" w:before="200"/>
      </w:pPr>
      <w:r>
        <w:t xml:space="preserve"/>
      </w:r>
    </w:p>
    <w:p>
      <w:pPr>
        <w:pStyle w:val="Heading1"/>
        <w:spacing w:after="120" w:before="340"/>
      </w:pPr>
      <w:r>
        <w:rPr>
          <w:rFonts w:ascii="Arial" w:cs="Arial" w:eastAsia="Arial" w:hAnsi="Arial"/>
          <w:b/>
          <w:bCs/>
          <w:color w:val="185FA5"/>
          <w:sz w:val="32"/>
          <w:szCs w:val="32"/>
        </w:rPr>
        <w:t xml:space="preserve">2. Individual learner plans</w:t>
      </w:r>
    </w:p>
    <w:p>
      <w:pPr>
        <w:spacing w:after="120" w:before="0"/>
        <w:jc w:val="left"/>
      </w:pPr>
      <w:r>
        <w:rPr>
          <w:rFonts w:ascii="Arial" w:cs="Arial" w:eastAsia="Arial" w:hAnsi="Arial"/>
          <w:b w:val="false"/>
          <w:bCs w:val="false"/>
          <w:i w:val="false"/>
          <w:iCs w:val="false"/>
          <w:color w:val="555555"/>
          <w:sz w:val="21"/>
          <w:szCs w:val="21"/>
        </w:rPr>
        <w:t xml:space="preserve">Individual plans serve self-directed learners accessing Millpress through the mobile app. Two tiers: Free and Premium.</w:t>
      </w:r>
    </w:p>
    <w:p>
      <w:pPr>
        <w:pStyle w:val="Heading2"/>
        <w:spacing w:after="80" w:before="200"/>
      </w:pPr>
      <w:r>
        <w:rPr>
          <w:rFonts w:ascii="Arial" w:cs="Arial" w:eastAsia="Arial" w:hAnsi="Arial"/>
          <w:b/>
          <w:bCs/>
          <w:color w:val="1A1A1A"/>
          <w:sz w:val="26"/>
          <w:szCs w:val="26"/>
        </w:rPr>
        <w:t xml:space="preserve">2.1  The free tier — Beginner level, always free</w:t>
      </w:r>
    </w:p>
    <w:p>
      <w:pPr>
        <w:spacing w:after="100" w:before="0"/>
        <w:jc w:val="left"/>
      </w:pPr>
      <w:r>
        <w:rPr>
          <w:rFonts w:ascii="Arial" w:cs="Arial" w:eastAsia="Arial" w:hAnsi="Arial"/>
          <w:b w:val="false"/>
          <w:bCs w:val="false"/>
          <w:i w:val="false"/>
          <w:iCs w:val="false"/>
          <w:color w:val="555555"/>
          <w:sz w:val="20"/>
          <w:szCs w:val="20"/>
        </w:rPr>
        <w:t xml:space="preserve">The free tier is anchored to the Beginner level — all courses, all modules, all lessons within that level are permanently available at no cost. This directly maps to our social mission: basic literacy is free.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rPr>
          <w:tblHeader/>
        </w:trPr>
        <w:tc>
          <w:tcPr>
            <w:tcW w:type="dxa" w:w="32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20"/>
                <w:szCs w:val="20"/>
              </w:rPr>
              <w:t xml:space="preserve">Feature</w:t>
            </w:r>
          </w:p>
        </w:tc>
        <w:tc>
          <w:tcPr>
            <w:tcW w:type="dxa" w:w="3440"/>
            <w:tcBorders>
              <w:top w:val="single" w:color="3B6D11" w:sz="1"/>
              <w:left w:val="single" w:color="3B6D11" w:sz="1"/>
              <w:bottom w:val="single" w:color="3B6D11" w:sz="1"/>
              <w:right w:val="single" w:color="3B6D11" w:sz="1"/>
            </w:tcBorders>
            <w:shd w:fill="3B6D11" w:val="clear"/>
            <w:tcMar>
              <w:top w:type="dxa" w:w="100"/>
              <w:left w:type="dxa" w:w="140"/>
              <w:bottom w:type="dxa" w:w="100"/>
              <w:right w:type="dxa" w:w="140"/>
            </w:tcMar>
            <w:vAlign w:val="top"/>
          </w:tcPr>
          <w:p>
            <w:pPr>
              <w:jc w:val="center"/>
            </w:pPr>
            <w:r>
              <w:rPr>
                <w:rFonts w:ascii="Arial" w:cs="Arial" w:eastAsia="Arial" w:hAnsi="Arial"/>
                <w:b/>
                <w:bCs/>
                <w:color w:val="FFFFFF"/>
                <w:sz w:val="22"/>
                <w:szCs w:val="22"/>
              </w:rPr>
              <w:t xml:space="preserve">Free</w:t>
            </w:r>
          </w:p>
        </w:tc>
        <w:tc>
          <w:tcPr>
            <w:tcW w:type="dxa" w:w="34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vAlign w:val="top"/>
          </w:tcPr>
          <w:p>
            <w:pPr>
              <w:jc w:val="center"/>
            </w:pPr>
            <w:r>
              <w:rPr>
                <w:rFonts w:ascii="Arial" w:cs="Arial" w:eastAsia="Arial" w:hAnsi="Arial"/>
                <w:b/>
                <w:bCs/>
                <w:color w:val="FFFFFF"/>
                <w:sz w:val="22"/>
                <w:szCs w:val="22"/>
              </w:rPr>
              <w:t xml:space="preserve">Premium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Beginner level (all courses)</w:t>
            </w:r>
          </w:p>
        </w:tc>
        <w:tc>
          <w:tcPr>
            <w:tcW w:type="dxa" w:w="34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top"/>
          </w:tcPr>
          <w:p>
            <w:pPr>
              <w:jc w:val="center"/>
            </w:pPr>
            <w:r>
              <w:rPr>
                <w:rFonts w:ascii="Arial" w:cs="Arial" w:eastAsia="Arial" w:hAnsi="Arial"/>
                <w:color w:val="0F6E56"/>
                <w:sz w:val="20"/>
                <w:szCs w:val="20"/>
              </w:rPr>
              <w:t xml:space="preserve">Full access</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Full access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Intermediate level</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color w:val="999999"/>
                <w:sz w:val="20"/>
                <w:szCs w:val="20"/>
              </w:rPr>
              <w:t xml:space="preserve">Locked</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Full access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Advanced level</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color w:val="999999"/>
                <w:sz w:val="20"/>
                <w:szCs w:val="20"/>
              </w:rPr>
              <w:t xml:space="preserve">Locked</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Full access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Onboarding assessment</w:t>
            </w:r>
          </w:p>
        </w:tc>
        <w:tc>
          <w:tcPr>
            <w:tcW w:type="dxa" w:w="34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top"/>
          </w:tcPr>
          <w:p>
            <w:pPr>
              <w:jc w:val="center"/>
            </w:pPr>
            <w:r>
              <w:rPr>
                <w:rFonts w:ascii="Arial" w:cs="Arial" w:eastAsia="Arial" w:hAnsi="Arial"/>
                <w:color w:val="0F6E56"/>
                <w:sz w:val="20"/>
                <w:szCs w:val="20"/>
              </w:rPr>
              <w:t xml:space="preserve">Included</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Included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Basic progress tracking</w:t>
            </w:r>
          </w:p>
        </w:tc>
        <w:tc>
          <w:tcPr>
            <w:tcW w:type="dxa" w:w="34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top"/>
          </w:tcPr>
          <w:p>
            <w:pPr>
              <w:jc w:val="center"/>
            </w:pPr>
            <w:r>
              <w:rPr>
                <w:rFonts w:ascii="Arial" w:cs="Arial" w:eastAsia="Arial" w:hAnsi="Arial"/>
                <w:color w:val="0F6E56"/>
                <w:sz w:val="20"/>
                <w:szCs w:val="20"/>
              </w:rPr>
              <w:t xml:space="preserve">Included</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Included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Offline lesson downloads</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color w:val="999999"/>
                <w:sz w:val="20"/>
                <w:szCs w:val="20"/>
              </w:rPr>
              <w:t xml:space="preserve">Not available</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Up to 20 lessons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Bookmarks</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color w:val="999999"/>
                <w:sz w:val="20"/>
                <w:szCs w:val="20"/>
              </w:rPr>
              <w:t xml:space="preserve">Not available</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Unlimited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Lesson history</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color w:val="999999"/>
                <w:sz w:val="20"/>
                <w:szCs w:val="20"/>
              </w:rPr>
              <w:t xml:space="preserve">Not available</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Full history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Weekly learning goals</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color w:val="999999"/>
                <w:sz w:val="20"/>
                <w:szCs w:val="20"/>
              </w:rPr>
              <w:t xml:space="preserve">Not available</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val="false"/>
                <w:bCs w:val="false"/>
                <w:color w:val="0C447C"/>
                <w:sz w:val="20"/>
                <w:szCs w:val="20"/>
              </w:rPr>
              <w:t xml:space="preserve">Included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20"/>
                <w:szCs w:val="20"/>
              </w:rPr>
              <w:t xml:space="preserve">Price</w:t>
            </w:r>
          </w:p>
        </w:tc>
        <w:tc>
          <w:tcPr>
            <w:tcW w:type="dxa" w:w="34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top"/>
          </w:tcPr>
          <w:p>
            <w:pPr>
              <w:jc w:val="center"/>
            </w:pPr>
            <w:r>
              <w:rPr>
                <w:rFonts w:ascii="Arial" w:cs="Arial" w:eastAsia="Arial" w:hAnsi="Arial"/>
                <w:color w:val="0F6E56"/>
                <w:sz w:val="20"/>
                <w:szCs w:val="20"/>
              </w:rPr>
              <w:t xml:space="preserve">$0 — forever</w:t>
            </w:r>
          </w:p>
        </w:tc>
        <w:tc>
          <w:tcPr>
            <w:tcW w:type="dxa" w:w="3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0C447C"/>
                <w:sz w:val="20"/>
                <w:szCs w:val="20"/>
              </w:rPr>
              <w:t xml:space="preserve">$6 / month   or   $54 / year</w:t>
            </w:r>
          </w:p>
        </w:tc>
      </w:tr>
    </w:tbl>
    <w:p>
      <w:pPr>
        <w:spacing w:after="0" w:before="140"/>
      </w:pPr>
      <w:r>
        <w:t xml:space="preserve"/>
      </w:r>
    </w:p>
    <w:p>
      <w:pPr>
        <w:spacing w:after="60" w:before="0"/>
        <w:jc w:val="left"/>
      </w:pPr>
      <w:r>
        <w:rPr>
          <w:rFonts w:ascii="Arial" w:cs="Arial" w:eastAsia="Arial" w:hAnsi="Arial"/>
          <w:b w:val="false"/>
          <w:bCs w:val="false"/>
          <w:i/>
          <w:iCs/>
          <w:color w:val="555555"/>
          <w:sz w:val="19"/>
          <w:szCs w:val="19"/>
        </w:rPr>
        <w:t xml:space="preserve">Annual billing ($54/year) saves the learner 25% versus monthly and improves cash flow predictability. Annual should be the default option shown in the app.</w:t>
      </w:r>
    </w:p>
    <w:p>
      <w:pPr>
        <w:spacing w:after="0" w:before="200"/>
      </w:pPr>
      <w:r>
        <w:t xml:space="preserve"/>
      </w:r>
    </w:p>
    <w:p>
      <w:pPr>
        <w:pStyle w:val="Heading1"/>
        <w:spacing w:after="120" w:before="340"/>
      </w:pPr>
      <w:r>
        <w:rPr>
          <w:rFonts w:ascii="Arial" w:cs="Arial" w:eastAsia="Arial" w:hAnsi="Arial"/>
          <w:b/>
          <w:bCs/>
          <w:color w:val="185FA5"/>
          <w:sz w:val="32"/>
          <w:szCs w:val="32"/>
        </w:rPr>
        <w:t xml:space="preserve">3. The two strategic options considered</w:t>
      </w:r>
    </w:p>
    <w:p>
      <w:pPr>
        <w:spacing w:after="120" w:before="0"/>
        <w:jc w:val="left"/>
      </w:pPr>
      <w:r>
        <w:rPr>
          <w:rFonts w:ascii="Arial" w:cs="Arial" w:eastAsia="Arial" w:hAnsi="Arial"/>
          <w:b w:val="false"/>
          <w:bCs w:val="false"/>
          <w:i w:val="false"/>
          <w:iCs w:val="false"/>
          <w:color w:val="555555"/>
          <w:sz w:val="21"/>
          <w:szCs w:val="21"/>
        </w:rPr>
        <w:t xml:space="preserve">Two approaches were evaluated for how to define the boundary between the free and paid tiers. Both preserve the mission; they differ in where the line is drawn.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rPr>
          <w:tblHeader/>
        </w:trP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20"/>
                <w:szCs w:val="20"/>
              </w:rPr>
              <w:t xml:space="preserve">Dimension</w:t>
            </w:r>
          </w:p>
        </w:tc>
        <w:tc>
          <w:tcPr>
            <w:tcW w:type="dxa" w:w="40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Option A — Level gating (recommended)</w:t>
            </w:r>
          </w:p>
        </w:tc>
        <w:tc>
          <w:tcPr>
            <w:tcW w:type="dxa" w:w="404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jc w:val="center"/>
            </w:pPr>
            <w:r>
              <w:rPr>
                <w:rFonts w:ascii="Arial" w:cs="Arial" w:eastAsia="Arial" w:hAnsi="Arial"/>
                <w:b/>
                <w:bCs/>
                <w:color w:val="0C447C"/>
                <w:sz w:val="20"/>
                <w:szCs w:val="20"/>
              </w:rPr>
              <w:t xml:space="preserve">Option B — Course quota (4 courses free)</w:t>
            </w:r>
          </w:p>
        </w:tc>
      </w:tr>
      <w:t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Free tier</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Full Beginner level — all courses, no cap</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4 courses from any level, then upgrade required</w:t>
            </w:r>
          </w:p>
        </w:tc>
      </w:tr>
      <w:t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Mission fit</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Strong — basic literacy stays fully free</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Moderate — learners mid-programme may hit a paywall</w:t>
            </w:r>
          </w:p>
        </w:tc>
      </w:tr>
      <w:t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User clarity</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High — one sentence to explain</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Medium — users track a quota</w:t>
            </w:r>
          </w:p>
        </w:tc>
      </w:tr>
      <w:t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Upgrade urgency</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Lower — but grows as content library expands</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Higher — quota runs out regardless of level</w:t>
            </w:r>
          </w:p>
        </w:tc>
      </w:tr>
      <w:t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Build effort</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Low — level-gating logic already in codebase</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Higher — new counter + quota gate needed</w:t>
            </w:r>
          </w:p>
        </w:tc>
      </w:tr>
      <w:tr>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Risk</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Free tier can become very large over time</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Low-income learners may be cut off mid-programme</w:t>
            </w:r>
          </w:p>
        </w:tc>
      </w:tr>
    </w:tbl>
    <w:p>
      <w:pPr>
        <w:spacing w:after="0" w:before="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0C447C"/>
                <w:sz w:val="21"/>
                <w:szCs w:val="21"/>
              </w:rPr>
              <w:t xml:space="preserve">Recommendation</w:t>
            </w:r>
          </w:p>
          <w:p>
            <w:pPr>
              <w:spacing w:after="60" w:before="0"/>
              <w:jc w:val="left"/>
            </w:pPr>
            <w:r>
              <w:rPr>
                <w:rFonts w:ascii="Arial" w:cs="Arial" w:eastAsia="Arial" w:hAnsi="Arial"/>
                <w:b w:val="false"/>
                <w:bCs w:val="false"/>
                <w:i w:val="false"/>
                <w:iCs w:val="false"/>
                <w:color w:val="555555"/>
                <w:sz w:val="20"/>
                <w:szCs w:val="20"/>
              </w:rPr>
              <w:t xml:space="preserve">Launch with Option A (level gating). The infrastructure is already in place via DevFlags.allowLockedCourseAccess — it is a flag flip per user plan, not a new build. After 3 months of live data, introduce a soft lesson cap (e.g. 30 lessons/month) within the free Beginner tier if conversion rates fall below 4%. This incorporates Option B's urgency mechanism without changing the model's core promise.</w:t>
            </w:r>
          </w:p>
        </w:tc>
      </w:tr>
    </w:tbl>
    <w:p>
      <w:r>
        <w:br w:type="page"/>
      </w:r>
    </w:p>
    <w:p>
      <w:pPr>
        <w:pStyle w:val="Heading1"/>
        <w:spacing w:after="120" w:before="340"/>
      </w:pPr>
      <w:r>
        <w:rPr>
          <w:rFonts w:ascii="Arial" w:cs="Arial" w:eastAsia="Arial" w:hAnsi="Arial"/>
          <w:b/>
          <w:bCs/>
          <w:color w:val="185FA5"/>
          <w:sz w:val="32"/>
          <w:szCs w:val="32"/>
        </w:rPr>
        <w:t xml:space="preserve">4. Organisation plans</w:t>
      </w:r>
    </w:p>
    <w:p>
      <w:pPr>
        <w:spacing w:after="140" w:before="0"/>
        <w:jc w:val="left"/>
      </w:pPr>
      <w:r>
        <w:rPr>
          <w:rFonts w:ascii="Arial" w:cs="Arial" w:eastAsia="Arial" w:hAnsi="Arial"/>
          <w:b w:val="false"/>
          <w:bCs w:val="false"/>
          <w:i w:val="false"/>
          <w:iCs w:val="false"/>
          <w:color w:val="555555"/>
          <w:sz w:val="21"/>
          <w:szCs w:val="21"/>
        </w:rPr>
        <w:t xml:space="preserve">Organisation plans are the highest-revenue segment. A single Growth plan generates the equivalent of 21 individual annual subscriptions. Target organisations include schools, adult literacy centres, NGOs, community colleges, and corporate L&amp;D teams.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dxa" w:w="32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b/>
                <w:bCs/>
                <w:color w:val="0C447C"/>
                <w:sz w:val="26"/>
                <w:szCs w:val="26"/>
              </w:rPr>
              <w:t xml:space="preserve">Starter</w:t>
            </w:r>
          </w:p>
          <w:p>
            <w:pPr>
              <w:spacing w:after="40" w:before="20"/>
              <w:jc w:val="center"/>
            </w:pPr>
            <w:r>
              <w:rPr>
                <w:rFonts w:ascii="Arial" w:cs="Arial" w:eastAsia="Arial" w:hAnsi="Arial"/>
                <w:color w:val="555555"/>
                <w:sz w:val="19"/>
                <w:szCs w:val="19"/>
              </w:rPr>
              <w:t xml:space="preserve">Up to 30 learner seats</w:t>
            </w:r>
          </w:p>
        </w:tc>
        <w:tc>
          <w:tcPr>
            <w:tcW w:type="dxa" w:w="34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vAlign w:val="top"/>
          </w:tcPr>
          <w:p>
            <w:pPr>
              <w:jc w:val="center"/>
            </w:pPr>
            <w:r>
              <w:rPr>
                <w:rFonts w:ascii="Arial" w:cs="Arial" w:eastAsia="Arial" w:hAnsi="Arial"/>
                <w:b/>
                <w:bCs/>
                <w:color w:val="FFFFFF"/>
                <w:sz w:val="26"/>
                <w:szCs w:val="26"/>
              </w:rPr>
              <w:t xml:space="preserve">Growth</w:t>
            </w:r>
          </w:p>
          <w:p>
            <w:pPr>
              <w:spacing w:after="40" w:before="20"/>
              <w:jc w:val="center"/>
            </w:pPr>
            <w:r>
              <w:rPr>
                <w:rFonts w:ascii="Arial" w:cs="Arial" w:eastAsia="Arial" w:hAnsi="Arial"/>
                <w:color w:val="E6F1FB"/>
                <w:sz w:val="19"/>
                <w:szCs w:val="19"/>
              </w:rPr>
              <w:t xml:space="preserve">Up to 150 learner seats</w:t>
            </w:r>
          </w:p>
        </w:tc>
        <w:tc>
          <w:tcPr>
            <w:tcW w:type="dxa" w:w="34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b/>
                <w:bCs/>
                <w:color w:val="0C447C"/>
                <w:sz w:val="26"/>
                <w:szCs w:val="26"/>
              </w:rPr>
              <w:t xml:space="preserve">Enterprise</w:t>
            </w:r>
          </w:p>
          <w:p>
            <w:pPr>
              <w:spacing w:after="40" w:before="20"/>
              <w:jc w:val="center"/>
            </w:pPr>
            <w:r>
              <w:rPr>
                <w:rFonts w:ascii="Arial" w:cs="Arial" w:eastAsia="Arial" w:hAnsi="Arial"/>
                <w:color w:val="555555"/>
                <w:sz w:val="19"/>
                <w:szCs w:val="19"/>
              </w:rPr>
              <w:t xml:space="preserve">Unlimited seats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10" w:before="60"/>
              <w:jc w:val="center"/>
            </w:pPr>
            <w:r>
              <w:rPr>
                <w:rFonts w:ascii="Arial" w:cs="Arial" w:eastAsia="Arial" w:hAnsi="Arial"/>
                <w:b/>
                <w:bCs/>
                <w:color w:val="1A1A1A"/>
                <w:sz w:val="48"/>
                <w:szCs w:val="48"/>
              </w:rPr>
              <w:t xml:space="preserve">$49</w:t>
            </w:r>
          </w:p>
          <w:p>
            <w:pPr>
              <w:spacing w:after="60" w:before="0"/>
              <w:jc w:val="center"/>
            </w:pPr>
            <w:r>
              <w:rPr>
                <w:rFonts w:ascii="Arial" w:cs="Arial" w:eastAsia="Arial" w:hAnsi="Arial"/>
                <w:color w:val="555555"/>
                <w:sz w:val="19"/>
                <w:szCs w:val="19"/>
              </w:rPr>
              <w:t xml:space="preserve">/month  ·  $470/year</w:t>
            </w:r>
          </w:p>
        </w:tc>
        <w:tc>
          <w:tcPr>
            <w:tcW w:type="dxa" w:w="3440"/>
            <w:tcBorders>
              <w:top w:val="single" w:color="185FA5" w:sz="1"/>
              <w:left w:val="single" w:color="185FA5" w:sz="1"/>
              <w:bottom w:val="single" w:color="185FA5" w:sz="1"/>
              <w:right w:val="single" w:color="185FA5" w:sz="1"/>
            </w:tcBorders>
            <w:tcMar>
              <w:top w:type="dxa" w:w="100"/>
              <w:left w:type="dxa" w:w="140"/>
              <w:bottom w:type="dxa" w:w="100"/>
              <w:right w:type="dxa" w:w="140"/>
            </w:tcMar>
            <w:vAlign w:val="top"/>
          </w:tcPr>
          <w:p>
            <w:pPr>
              <w:spacing w:after="10" w:before="60"/>
              <w:jc w:val="center"/>
            </w:pPr>
            <w:r>
              <w:rPr>
                <w:rFonts w:ascii="Arial" w:cs="Arial" w:eastAsia="Arial" w:hAnsi="Arial"/>
                <w:b/>
                <w:bCs/>
                <w:color w:val="1A1A1A"/>
                <w:sz w:val="48"/>
                <w:szCs w:val="48"/>
              </w:rPr>
              <w:t xml:space="preserve">$129</w:t>
            </w:r>
          </w:p>
          <w:p>
            <w:pPr>
              <w:spacing w:after="60" w:before="0"/>
              <w:jc w:val="center"/>
            </w:pPr>
            <w:r>
              <w:rPr>
                <w:rFonts w:ascii="Arial" w:cs="Arial" w:eastAsia="Arial" w:hAnsi="Arial"/>
                <w:color w:val="555555"/>
                <w:sz w:val="19"/>
                <w:szCs w:val="19"/>
              </w:rPr>
              <w:t xml:space="preserve">/month  ·  $1,230/year</w:t>
            </w:r>
          </w:p>
        </w:tc>
        <w:tc>
          <w:tcPr>
            <w:tcW w:type="dxa" w:w="3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10" w:before="60"/>
              <w:jc w:val="center"/>
            </w:pPr>
            <w:r>
              <w:rPr>
                <w:rFonts w:ascii="Arial" w:cs="Arial" w:eastAsia="Arial" w:hAnsi="Arial"/>
                <w:b/>
                <w:bCs/>
                <w:color w:val="1A1A1A"/>
                <w:sz w:val="48"/>
                <w:szCs w:val="48"/>
              </w:rPr>
              <w:t xml:space="preserve">Custom</w:t>
            </w:r>
          </w:p>
          <w:p>
            <w:pPr>
              <w:spacing w:after="60" w:before="0"/>
              <w:jc w:val="center"/>
            </w:pPr>
            <w:r>
              <w:rPr>
                <w:rFonts w:ascii="Arial" w:cs="Arial" w:eastAsia="Arial" w:hAnsi="Arial"/>
                <w:color w:val="555555"/>
                <w:sz w:val="19"/>
                <w:szCs w:val="19"/>
              </w:rPr>
              <w:t xml:space="preserve">annual contract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Admin dashboard access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All 3 levels for all seats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Basic analytics (KPIs, new users, progress)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Per-learner progress tracking</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Advanced analytics &amp; data exports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Cohort / group management</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Lesson builder access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Priority support</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Custom branding / white-label</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Dedicated onboarding &amp; SLA</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API access &amp; integrations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Bulk content uploads</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185FA5" w:sz="1"/>
              <w:left w:val="single" w:color="185FA5" w:sz="1"/>
              <w:bottom w:val="single" w:color="185FA5" w:sz="1"/>
              <w:right w:val="single" w:color="185FA5" w:sz="1"/>
            </w:tcBorders>
            <w:shd w:fill="FFFFFF" w:val="clear"/>
            <w:tcMar>
              <w:top w:type="dxa" w:w="100"/>
              <w:left w:type="dxa" w:w="140"/>
              <w:bottom w:type="dxa" w:w="100"/>
              <w:right w:type="dxa" w:w="140"/>
            </w:tcMar>
            <w:vAlign w:val="top"/>
          </w:tcPr>
          <w:p>
            <w:pPr>
              <w:jc w:val="center"/>
            </w:pPr>
            <w:r>
              <w:rPr>
                <w:rFonts w:ascii="Arial" w:cs="Arial" w:eastAsia="Arial" w:hAnsi="Arial"/>
                <w:color w:val="BBBBBB"/>
                <w:sz w:val="22"/>
                <w:szCs w:val="22"/>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2"/>
                <w:szCs w:val="22"/>
              </w:rPr>
              <w:t xml:space="preserve">✓</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6E56" w:sz="1"/>
              <w:left w:val="single" w:color="0F6E56" w:sz="1"/>
              <w:bottom w:val="single" w:color="0F6E56" w:sz="1"/>
              <w:right w:val="single" w:color="0F6E56" w:sz="1"/>
            </w:tcBorders>
            <w:shd w:fill="E1F5EE"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0F6E56"/>
                <w:sz w:val="21"/>
                <w:szCs w:val="21"/>
              </w:rPr>
              <w:t xml:space="preserve">NGO &amp; non-profit discount — 50% off all organisation tiers</w:t>
            </w:r>
          </w:p>
          <w:p>
            <w:pPr>
              <w:spacing w:after="60" w:before="0"/>
              <w:jc w:val="left"/>
            </w:pPr>
            <w:r>
              <w:rPr>
                <w:rFonts w:ascii="Arial" w:cs="Arial" w:eastAsia="Arial" w:hAnsi="Arial"/>
                <w:b w:val="false"/>
                <w:bCs w:val="false"/>
                <w:i w:val="false"/>
                <w:iCs w:val="false"/>
                <w:color w:val="555555"/>
                <w:sz w:val="20"/>
                <w:szCs w:val="20"/>
              </w:rPr>
              <w:t xml:space="preserve">Verified non-profits, government literacy programmes, and registered charities receive 50% off any organisation plan. Proof of status is required (charity registration number, 501(c)(3) letter, or equivalent). This keeps the platform affordable for institutions serving the same population as our free-tier individual users.</w:t>
            </w:r>
          </w:p>
        </w:tc>
      </w:tr>
    </w:tbl>
    <w:p>
      <w:pPr>
        <w:spacing w:after="0" w:before="200"/>
      </w:pPr>
      <w:r>
        <w:t xml:space="preserve"/>
      </w:r>
    </w:p>
    <w:p>
      <w:pPr>
        <w:pStyle w:val="Heading1"/>
        <w:spacing w:after="120" w:before="340"/>
      </w:pPr>
      <w:r>
        <w:rPr>
          <w:rFonts w:ascii="Arial" w:cs="Arial" w:eastAsia="Arial" w:hAnsi="Arial"/>
          <w:b/>
          <w:bCs/>
          <w:color w:val="185FA5"/>
          <w:sz w:val="32"/>
          <w:szCs w:val="32"/>
        </w:rPr>
        <w:t xml:space="preserve">5. Billing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A1A1A"/>
                <w:sz w:val="20"/>
                <w:szCs w:val="20"/>
              </w:rPr>
              <w:t xml:space="preserve"/>
            </w:r>
          </w:p>
        </w:tc>
        <w:tc>
          <w:tcPr>
            <w:tcW w:type="dxa" w:w="378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jc w:val="center"/>
            </w:pPr>
            <w:r>
              <w:rPr>
                <w:rFonts w:ascii="Arial" w:cs="Arial" w:eastAsia="Arial" w:hAnsi="Arial"/>
                <w:b/>
                <w:bCs/>
                <w:color w:val="555555"/>
                <w:sz w:val="20"/>
                <w:szCs w:val="20"/>
              </w:rPr>
              <w:t xml:space="preserve">Monthly billing</w:t>
            </w:r>
          </w:p>
        </w:tc>
        <w:tc>
          <w:tcPr>
            <w:tcW w:type="dxa" w:w="378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Annual billing (default)</w:t>
            </w:r>
          </w:p>
        </w:tc>
      </w:tr>
      <w:tr>
        <w:tc>
          <w:tcPr>
            <w:tcW w:type="dxa" w:w="25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Individual Premium</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555555"/>
                <w:sz w:val="19"/>
                <w:szCs w:val="19"/>
              </w:rPr>
              <w:t xml:space="preserve">$6 / month</w:t>
            </w:r>
          </w:p>
        </w:tc>
        <w:tc>
          <w:tcPr>
            <w:tcW w:type="dxa" w:w="378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jc w:val="center"/>
            </w:pPr>
            <w:r>
              <w:rPr>
                <w:rFonts w:ascii="Arial" w:cs="Arial" w:eastAsia="Arial" w:hAnsi="Arial"/>
                <w:b/>
                <w:bCs/>
                <w:color w:val="0C447C"/>
                <w:sz w:val="19"/>
                <w:szCs w:val="19"/>
              </w:rPr>
              <w:t xml:space="preserve">$54 / year  (save 25%)</w:t>
            </w:r>
          </w:p>
        </w:tc>
      </w:tr>
      <w:tr>
        <w:tc>
          <w:tcPr>
            <w:tcW w:type="dxa" w:w="25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Starter (org)</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555555"/>
                <w:sz w:val="19"/>
                <w:szCs w:val="19"/>
              </w:rPr>
              <w:t xml:space="preserve">$49 / month</w:t>
            </w:r>
          </w:p>
        </w:tc>
        <w:tc>
          <w:tcPr>
            <w:tcW w:type="dxa" w:w="378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jc w:val="center"/>
            </w:pPr>
            <w:r>
              <w:rPr>
                <w:rFonts w:ascii="Arial" w:cs="Arial" w:eastAsia="Arial" w:hAnsi="Arial"/>
                <w:b/>
                <w:bCs/>
                <w:color w:val="0C447C"/>
                <w:sz w:val="19"/>
                <w:szCs w:val="19"/>
              </w:rPr>
              <w:t xml:space="preserve">$470 / year  (save ~20%)</w:t>
            </w:r>
          </w:p>
        </w:tc>
      </w:tr>
      <w:tr>
        <w:tc>
          <w:tcPr>
            <w:tcW w:type="dxa" w:w="25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Growth (org)</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555555"/>
                <w:sz w:val="19"/>
                <w:szCs w:val="19"/>
              </w:rPr>
              <w:t xml:space="preserve">$129 / month</w:t>
            </w:r>
          </w:p>
        </w:tc>
        <w:tc>
          <w:tcPr>
            <w:tcW w:type="dxa" w:w="378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jc w:val="center"/>
            </w:pPr>
            <w:r>
              <w:rPr>
                <w:rFonts w:ascii="Arial" w:cs="Arial" w:eastAsia="Arial" w:hAnsi="Arial"/>
                <w:b/>
                <w:bCs/>
                <w:color w:val="0C447C"/>
                <w:sz w:val="19"/>
                <w:szCs w:val="19"/>
              </w:rPr>
              <w:t xml:space="preserve">$1,230 / year  (save ~21%)</w:t>
            </w:r>
          </w:p>
        </w:tc>
      </w:tr>
      <w:tr>
        <w:tc>
          <w:tcPr>
            <w:tcW w:type="dxa" w:w="25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Enterprise (org)</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color w:val="555555"/>
                <w:sz w:val="19"/>
                <w:szCs w:val="19"/>
              </w:rPr>
              <w:t xml:space="preserve">Not available</w:t>
            </w:r>
          </w:p>
        </w:tc>
        <w:tc>
          <w:tcPr>
            <w:tcW w:type="dxa" w:w="378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jc w:val="center"/>
            </w:pPr>
            <w:r>
              <w:rPr>
                <w:rFonts w:ascii="Arial" w:cs="Arial" w:eastAsia="Arial" w:hAnsi="Arial"/>
                <w:b/>
                <w:bCs/>
                <w:color w:val="0C447C"/>
                <w:sz w:val="19"/>
                <w:szCs w:val="19"/>
              </w:rPr>
              <w:t xml:space="preserve">Custom annual contract</w:t>
            </w:r>
          </w:p>
        </w:tc>
      </w:tr>
    </w:tbl>
    <w:p>
      <w:pPr>
        <w:spacing w:after="0" w:before="120"/>
      </w:pPr>
      <w:r>
        <w:t xml:space="preserve"/>
      </w:r>
    </w:p>
    <w:p>
      <w:pPr>
        <w:spacing w:after="60" w:before="0"/>
        <w:jc w:val="left"/>
      </w:pPr>
      <w:r>
        <w:rPr>
          <w:rFonts w:ascii="Arial" w:cs="Arial" w:eastAsia="Arial" w:hAnsi="Arial"/>
          <w:b w:val="false"/>
          <w:bCs w:val="false"/>
          <w:i/>
          <w:iCs/>
          <w:color w:val="555555"/>
          <w:sz w:val="19"/>
          <w:szCs w:val="19"/>
        </w:rPr>
        <w:t xml:space="preserve">Annual billing should be the default selection in the app and dashboard. Monthly billing is available but positioned as the less economical choice. Enterprise org plans are annual-only — no monthly option.</w:t>
      </w:r>
    </w:p>
    <w:p>
      <w:pPr>
        <w:spacing w:after="0" w:before="200"/>
      </w:pPr>
      <w:r>
        <w:t xml:space="preserve"/>
      </w:r>
    </w:p>
    <w:p>
      <w:pPr>
        <w:pStyle w:val="Heading1"/>
        <w:spacing w:after="120" w:before="340"/>
      </w:pPr>
      <w:r>
        <w:rPr>
          <w:rFonts w:ascii="Arial" w:cs="Arial" w:eastAsia="Arial" w:hAnsi="Arial"/>
          <w:b/>
          <w:bCs/>
          <w:color w:val="185FA5"/>
          <w:sz w:val="32"/>
          <w:szCs w:val="32"/>
        </w:rPr>
        <w:t xml:space="preserve">6. Implementation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720"/>
      </w:tblGrid>
      <w:tr>
        <w:trPr>
          <w:tblHeader/>
        </w:trPr>
        <w:tc>
          <w:tcPr>
            <w:tcW w:type="dxa" w:w="7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w:t>
            </w:r>
          </w:p>
        </w:tc>
        <w:tc>
          <w:tcPr>
            <w:tcW w:type="dxa" w:w="264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Priority</w:t>
            </w:r>
          </w:p>
        </w:tc>
        <w:tc>
          <w:tcPr>
            <w:tcW w:type="dxa" w:w="672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Action</w:t>
            </w:r>
          </w:p>
        </w:tc>
      </w:tr>
      <w:tr>
        <w:tc>
          <w:tcPr>
            <w:tcW w:type="dxa" w:w="72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20"/>
                <w:szCs w:val="20"/>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Individual launch</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Enable level-gating via DevFlags.allowLockedCourseAccess per user plan. Integrate a payment provider (e.g. RevenueCat for in-app purchases). Show annual pricing as default. Ship the Premium paywall screen.</w:t>
            </w:r>
          </w:p>
        </w:tc>
      </w:tr>
      <w:tr>
        <w:tc>
          <w:tcPr>
            <w:tcW w:type="dxa" w:w="72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Org acquisition</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Enable dashboard access behind an org plan gate. Build a seat-management screen. Launch Starter and Growth plans. Set up the NGO discount verification flow.</w:t>
            </w:r>
          </w:p>
        </w:tc>
      </w:tr>
      <w:tr>
        <w:tc>
          <w:tcPr>
            <w:tcW w:type="dxa" w:w="72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20"/>
                <w:szCs w:val="20"/>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Soft cap (if needed)</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After 3 months, review conversion data. If free-to-paid conversion is below 4%, add a soft lesson cap (30 lessons/month) to the free tier as a light-touch Option B nudge.</w:t>
            </w:r>
          </w:p>
        </w:tc>
      </w:tr>
      <w:tr>
        <w:tc>
          <w:tcPr>
            <w:tcW w:type="dxa" w:w="72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Annual billing default</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Default all checkout flows to annual billing. Monthly should require an explicit tap to select. Org onboarding should be annual-only by default.</w:t>
            </w:r>
          </w:p>
        </w:tc>
      </w:tr>
    </w:tbl>
    <w:p>
      <w:pPr>
        <w:spacing w:after="0" w:before="200"/>
      </w:pPr>
      <w:r>
        <w:t xml:space="preserve"/>
      </w:r>
    </w:p>
    <w:p>
      <w:pPr>
        <w:pStyle w:val="Heading1"/>
        <w:spacing w:after="120" w:before="340"/>
      </w:pPr>
      <w:r>
        <w:rPr>
          <w:rFonts w:ascii="Arial" w:cs="Arial" w:eastAsia="Arial" w:hAnsi="Arial"/>
          <w:b/>
          <w:bCs/>
          <w:color w:val="185FA5"/>
          <w:sz w:val="32"/>
          <w:szCs w:val="32"/>
        </w:rPr>
        <w:t xml:space="preserve">7. Key metrics to track</w:t>
      </w:r>
    </w:p>
    <w:p>
      <w:pPr>
        <w:spacing w:after="120" w:before="0"/>
        <w:jc w:val="left"/>
      </w:pPr>
      <w:r>
        <w:rPr>
          <w:rFonts w:ascii="Arial" w:cs="Arial" w:eastAsia="Arial" w:hAnsi="Arial"/>
          <w:b w:val="false"/>
          <w:bCs w:val="false"/>
          <w:i w:val="false"/>
          <w:iCs w:val="false"/>
          <w:color w:val="555555"/>
          <w:sz w:val="21"/>
          <w:szCs w:val="21"/>
        </w:rPr>
        <w:t xml:space="preserve">From day one of launch, track these five indicators to assess whether pricing is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000"/>
        <w:gridCol w:w="5200"/>
      </w:tblGrid>
      <w:tr>
        <w:trPr>
          <w:tblHeader/>
        </w:trPr>
        <w:tc>
          <w:tcPr>
            <w:tcW w:type="dxa" w:w="288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Metric</w:t>
            </w:r>
          </w:p>
        </w:tc>
        <w:tc>
          <w:tcPr>
            <w:tcW w:type="dxa" w:w="20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Target</w:t>
            </w:r>
          </w:p>
        </w:tc>
        <w:tc>
          <w:tcPr>
            <w:tcW w:type="dxa" w:w="5200"/>
            <w:tcBorders>
              <w:top w:val="single" w:color="CCCCCC" w:sz="1"/>
              <w:left w:val="single" w:color="CCCCCC" w:sz="1"/>
              <w:bottom w:val="single" w:color="CCCCCC" w:sz="1"/>
              <w:right w:val="single" w:color="CCCCCC" w:sz="1"/>
            </w:tcBorders>
            <w:shd w:fill="F5F5F3"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555555"/>
                <w:sz w:val="19"/>
                <w:szCs w:val="19"/>
              </w:rPr>
              <w:t xml:space="preserve">Why it matters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Free-to-paid conversion rate</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19"/>
                <w:szCs w:val="19"/>
              </w:rPr>
              <w:t xml:space="preserve">4 – 8%</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The primary health signal. Below 4% means the free tier is too generous or the premium value is unclear.</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Time to upgrade</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19"/>
                <w:szCs w:val="19"/>
              </w:rPr>
              <w:t xml:space="preserve">&lt; 30 days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How many days from sign-up to first payment. A long time-to-upgrade suggests the paywall is too soft.</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Monthly churn rate</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19"/>
                <w:szCs w:val="19"/>
              </w:rPr>
              <w:t xml:space="preserve">&lt; 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Measures whether Premium learners find ongoing value. High churn points to content gaps at Intermediate/Advanced.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Org seat utilisation</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19"/>
                <w:szCs w:val="19"/>
              </w:rPr>
              <w:t xml:space="preserve">&gt; 60%</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If fewer than 60% of seats are actively used, the org plan is not sticky enough — risk of non-renewal.</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1A1A1A"/>
                <w:sz w:val="19"/>
                <w:szCs w:val="19"/>
              </w:rPr>
              <w:t xml:space="preserve">Net Revenue Retention</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jc w:val="center"/>
            </w:pPr>
            <w:r>
              <w:rPr>
                <w:rFonts w:ascii="Arial" w:cs="Arial" w:eastAsia="Arial" w:hAnsi="Arial"/>
                <w:b/>
                <w:bCs/>
                <w:color w:val="185FA5"/>
                <w:sz w:val="19"/>
                <w:szCs w:val="19"/>
              </w:rPr>
              <w:t xml:space="preserve">&gt; 100%</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555555"/>
                <w:sz w:val="19"/>
                <w:szCs w:val="19"/>
              </w:rPr>
              <w:t xml:space="preserve">Upgrades minus downgrades minus churn. Above 100% means existing customers are growing in value.</w:t>
            </w:r>
          </w:p>
        </w:tc>
      </w:tr>
    </w:tbl>
    <w:p>
      <w:pPr>
        <w:spacing w:after="0" w:before="300"/>
      </w:pPr>
      <w:r>
        <w:t xml:space="preserve"/>
      </w:r>
    </w:p>
    <w:p>
      <w:pPr>
        <w:pBdr>
          <w:bottom w:val="single" w:color="CCCCCC" w:sz="4" w:space="1"/>
        </w:pBdr>
        <w:spacing w:after="200" w:before="200"/>
      </w:pPr>
    </w:p>
    <w:p>
      <w:pPr>
        <w:spacing w:after="0" w:before="100"/>
        <w:jc w:val="center"/>
      </w:pPr>
      <w:r>
        <w:rPr>
          <w:rFonts w:ascii="Arial" w:cs="Arial" w:eastAsia="Arial" w:hAnsi="Arial"/>
          <w:color w:val="AAAAAA"/>
          <w:sz w:val="17"/>
          <w:szCs w:val="17"/>
        </w:rPr>
        <w:t xml:space="preserve">Millpress  ·  Internal brief  ·  Confidential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20"/>
    </w:pPr>
    <w:r>
      <w:rPr>
        <w:rFonts w:ascii="Arial" w:cs="Arial" w:eastAsia="Arial" w:hAnsi="Arial"/>
        <w:color w:val="555555"/>
        <w:sz w:val="16"/>
        <w:szCs w:val="16"/>
      </w:rPr>
      <w:t xml:space="preserve">Confidential — Internal use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tabs>
        <w:tab w:val="right" w:pos="9026"/>
      </w:tabs>
      <w:spacing w:after="120" w:before="0"/>
    </w:pPr>
    <w:r>
      <w:rPr>
        <w:rFonts w:ascii="Arial" w:cs="Arial" w:eastAsia="Arial" w:hAnsi="Arial"/>
        <w:b/>
        <w:bCs/>
        <w:color w:val="185FA5"/>
        <w:sz w:val="18"/>
        <w:szCs w:val="18"/>
      </w:rPr>
      <w:t xml:space="preserve">Millpress</w:t>
    </w:r>
    <w:r>
      <w:rPr>
        <w:rFonts w:ascii="Arial" w:cs="Arial" w:eastAsia="Arial" w:hAnsi="Arial"/>
        <w:color w:val="555555"/>
        <w:sz w:val="18"/>
        <w:szCs w:val="18"/>
      </w:rPr>
      <w:t xml:space="preserve">	Pricing &amp; Subscription Plans — Internal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rFonts w:ascii="Arial" w:cs="Arial" w:eastAsia="Arial" w:hAnsi="Arial"/>
        <w:b/>
        <w:bCs/>
        <w:color w:val="0F6E56"/>
        <w:sz w:val="20"/>
        <w:szCs w:val="20"/>
      </w:rPr>
    </w:lvl>
  </w:abstractNum>
  <w:abstractNum w:abstractNumId="3" w15:restartNumberingAfterBreak="0">
    <w:multiLevelType w:val="hybridMultilevel"/>
    <w:lvl w:ilvl="0" w15:tentative="1">
      <w:start w:val="1"/>
      <w:numFmt w:val="bullet"/>
      <w:lvlText w:val="–"/>
      <w:lvlJc w:val="left"/>
      <w:pPr>
        <w:ind w:left="400" w:hanging="280"/>
      </w:pPr>
      <w:rPr>
        <w:rFonts w:ascii="Arial" w:cs="Arial" w:eastAsia="Arial" w:hAnsi="Arial"/>
        <w:color w:val="999999"/>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85FA5"/>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2026-05-11T05:31:50.717Z</dcterms:created>
  <dcterms:modified xsi:type="dcterms:W3CDTF">2026-05-11T05:31:50.718Z</dcterms:modified>
</cp:coreProperties>
</file>

<file path=docProps/custom.xml><?xml version="1.0" encoding="utf-8"?>
<Properties xmlns="http://schemas.openxmlformats.org/officeDocument/2006/custom-properties" xmlns:vt="http://schemas.openxmlformats.org/officeDocument/2006/docPropsVTypes"/>
</file>