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MANDATE  |  PRIVATE MARKETS DEMO</w:t>
      </w:r>
    </w:p>
    <w:p>
      <w:pPr>
        <w:pStyle w:val="Title"/>
      </w:pPr>
      <w:r>
        <w:t>Investment Memorandum | Northstar Packaging Solutions</w:t>
      </w:r>
    </w:p>
    <w:p>
      <w:pPr>
        <w:pStyle w:val="Subtitle"/>
      </w:pPr>
      <w:r>
        <w:t>FICTIONAL COMPANY CASE STUDY · ALL FIGURES AND PEOPLE ARE INVENTED</w:t>
      </w:r>
    </w:p>
    <w:p>
      <w:r>
        <w:t>Draft for an illustrative investment committee discussion · Not an investment recommendation</w:t>
      </w:r>
    </w:p>
    <w:p>
      <w:pPr>
        <w:pStyle w:val="Heading1"/>
      </w:pPr>
      <w:r>
        <w:t>1. Executive summary</w:t>
      </w:r>
    </w:p>
    <w:p>
      <w:r>
        <w:t>Northstar Packaging Solutions (“Northstar”) is a fictional founder-owned specialty packaging manufacturer seeking $12.0 million of growth equity. The invented case describes $28.0 million of FY2025 revenue and $4.2 million of EBITDA, equivalent to a 15.0% margin. Proceeds would fund a production line, working capital, automation and a possible regional add-on acquisition. Preliminary status: further diligence required. There is no established valuation, ownership proposal, return forecast or verified investor interest.</w:t>
      </w:r>
    </w:p>
    <w:p>
      <w:pPr>
        <w:pStyle w:val="Heading1"/>
      </w:pPr>
      <w:r>
        <w:t>2. Company and business model</w:t>
      </w:r>
    </w:p>
    <w:p>
      <w:r>
        <w:t>The fictional business is headquartered in Columbus, Ohio, with facilities in Ohio and Georgia. Its product set includes recyclable rigid packaging, secondary packaging and short-run custom formats sold to food, personal care and healthcare customers. Custom tooling and flexible production runs are presented as potential differentiators. Diligence should verify product mix, customer purchasing criteria, production capabilities, pricing discipline, contract structure and exposure to larger competitors.</w:t>
      </w:r>
    </w:p>
    <w:p>
      <w:pPr>
        <w:pStyle w:val="Heading1"/>
      </w:pPr>
      <w:r>
        <w:t>3. Market and competitive position</w:t>
      </w:r>
    </w:p>
    <w:p>
      <w:r>
        <w:t>No third-party market-size or industry-growth data is included in this demo. A real analysis should define the addressable packaging categories and geographies, estimate TAM/SAM/SOM using a transparent bottom-up method, and document the original sources and dates. Relevant competitive factors may include scale, quality certifications, lead times, sustainability requirements, tooling capabilities, customer service and raw-material sourcing. No market share or competitive ranking is claimed.</w:t>
      </w:r>
    </w:p>
    <w:p>
      <w:pPr>
        <w:pStyle w:val="Heading1"/>
      </w:pPr>
      <w:r>
        <w:t>4. Financial performance</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FY2025 metric</w:t>
            </w:r>
          </w:p>
        </w:tc>
        <w:tc>
          <w:tcPr>
            <w:tcW w:type="dxa" w:w="3389"/>
          </w:tcPr>
          <w:p>
            <w:r>
              <w:t>Illustrative value</w:t>
            </w:r>
          </w:p>
        </w:tc>
        <w:tc>
          <w:tcPr>
            <w:tcW w:type="dxa" w:w="3389"/>
          </w:tcPr>
          <w:p>
            <w:r>
              <w:t>Status</w:t>
            </w:r>
          </w:p>
        </w:tc>
      </w:tr>
      <w:tr>
        <w:tc>
          <w:tcPr>
            <w:tcW w:type="dxa" w:w="3389"/>
          </w:tcPr>
          <w:p>
            <w:r>
              <w:t>Revenue</w:t>
            </w:r>
          </w:p>
        </w:tc>
        <w:tc>
          <w:tcPr>
            <w:tcW w:type="dxa" w:w="3389"/>
          </w:tcPr>
          <w:p>
            <w:r>
              <w:t>$28.0M</w:t>
            </w:r>
          </w:p>
        </w:tc>
        <w:tc>
          <w:tcPr>
            <w:tcW w:type="dxa" w:w="3389"/>
          </w:tcPr>
          <w:p>
            <w:r>
              <w:t>Invented</w:t>
            </w:r>
          </w:p>
        </w:tc>
      </w:tr>
      <w:tr>
        <w:tc>
          <w:tcPr>
            <w:tcW w:type="dxa" w:w="3389"/>
          </w:tcPr>
          <w:p>
            <w:r>
              <w:t>EBITDA</w:t>
            </w:r>
          </w:p>
        </w:tc>
        <w:tc>
          <w:tcPr>
            <w:tcW w:type="dxa" w:w="3389"/>
          </w:tcPr>
          <w:p>
            <w:r>
              <w:t>$4.2M</w:t>
            </w:r>
          </w:p>
        </w:tc>
        <w:tc>
          <w:tcPr>
            <w:tcW w:type="dxa" w:w="3389"/>
          </w:tcPr>
          <w:p>
            <w:r>
              <w:t>Invented</w:t>
            </w:r>
          </w:p>
        </w:tc>
      </w:tr>
      <w:tr>
        <w:tc>
          <w:tcPr>
            <w:tcW w:type="dxa" w:w="3389"/>
          </w:tcPr>
          <w:p>
            <w:r>
              <w:t>EBITDA margin</w:t>
            </w:r>
          </w:p>
        </w:tc>
        <w:tc>
          <w:tcPr>
            <w:tcW w:type="dxa" w:w="3389"/>
          </w:tcPr>
          <w:p>
            <w:r>
              <w:t>15.0%</w:t>
            </w:r>
          </w:p>
        </w:tc>
        <w:tc>
          <w:tcPr>
            <w:tcW w:type="dxa" w:w="3389"/>
          </w:tcPr>
          <w:p>
            <w:r>
              <w:t>Calculated from invented figures</w:t>
            </w:r>
          </w:p>
        </w:tc>
      </w:tr>
      <w:tr>
        <w:tc>
          <w:tcPr>
            <w:tcW w:type="dxa" w:w="3389"/>
          </w:tcPr>
          <w:p>
            <w:r>
              <w:t>Revenue growth</w:t>
            </w:r>
          </w:p>
        </w:tc>
        <w:tc>
          <w:tcPr>
            <w:tcW w:type="dxa" w:w="3389"/>
          </w:tcPr>
          <w:p>
            <w:r>
              <w:t>14% YoY</w:t>
            </w:r>
          </w:p>
        </w:tc>
        <w:tc>
          <w:tcPr>
            <w:tcW w:type="dxa" w:w="3389"/>
          </w:tcPr>
          <w:p>
            <w:r>
              <w:t>Invented</w:t>
            </w:r>
          </w:p>
        </w:tc>
      </w:tr>
      <w:tr>
        <w:tc>
          <w:tcPr>
            <w:tcW w:type="dxa" w:w="3389"/>
          </w:tcPr>
          <w:p>
            <w:r>
              <w:t>Repeat-order revenue</w:t>
            </w:r>
          </w:p>
        </w:tc>
        <w:tc>
          <w:tcPr>
            <w:tcW w:type="dxa" w:w="3389"/>
          </w:tcPr>
          <w:p>
            <w:r>
              <w:t>~60%</w:t>
            </w:r>
          </w:p>
        </w:tc>
        <w:tc>
          <w:tcPr>
            <w:tcW w:type="dxa" w:w="3389"/>
          </w:tcPr>
          <w:p>
            <w:r>
              <w:t>Invented estimate</w:t>
            </w:r>
          </w:p>
        </w:tc>
      </w:tr>
      <w:tr>
        <w:tc>
          <w:tcPr>
            <w:tcW w:type="dxa" w:w="3389"/>
          </w:tcPr>
          <w:p>
            <w:r>
              <w:t>Capacity utilization</w:t>
            </w:r>
          </w:p>
        </w:tc>
        <w:tc>
          <w:tcPr>
            <w:tcW w:type="dxa" w:w="3389"/>
          </w:tcPr>
          <w:p>
            <w:r>
              <w:t>~78%</w:t>
            </w:r>
          </w:p>
        </w:tc>
        <w:tc>
          <w:tcPr>
            <w:tcW w:type="dxa" w:w="3389"/>
          </w:tcPr>
          <w:p>
            <w:r>
              <w:t>Invented estimate</w:t>
            </w:r>
          </w:p>
        </w:tc>
      </w:tr>
    </w:tbl>
    <w:p>
      <w:r>
        <w:t>No audited financial statements, cash-flow statements, balance sheet, net debt, working-capital history or quality-of-earnings report are available. Before underwriting, obtain three years of annual statements, monthly management accounts, customer-level sales and margins, price/volume/mix bridges, capex history, inventory ageing, receivables ageing, payables terms and reconciliation from reported to adjusted EBITDA.</w:t>
      </w:r>
    </w:p>
    <w:p>
      <w:pPr>
        <w:pStyle w:val="Heading1"/>
      </w:pPr>
      <w:r>
        <w:t>5. Proposed transaction and use of proceeds</w:t>
      </w:r>
    </w:p>
    <w:p>
      <w:r>
        <w:t>The fictional sponsor seeks $12.0 million of minority growth equity with flexible governance. Illustrative allocation: $5.0M for a new production line and installation; $2.5M for working capital and inventory; $2.0M for a potential add-on acquisition; $1.0M for automation and quality systems; and $1.5M for fees, contingency and general corporate purposes. These allocations are hypothetical, not approved budgets. Valuation, ownership, liquidation preference, board rights, information rights, anti-dilution provisions and exit terms remain unspecified.</w:t>
      </w:r>
    </w:p>
    <w:p>
      <w:pPr>
        <w:pStyle w:val="Heading1"/>
      </w:pPr>
      <w:r>
        <w:t>6. Preliminary investment thesis</w:t>
      </w:r>
    </w:p>
    <w:p>
      <w:pPr>
        <w:pStyle w:val="ListBullet"/>
      </w:pPr>
      <w:r>
        <w:t>Capacity expansion could unlock incremental volume if customer demand is supported by purchase orders and utilization improves without sacrificing quality.</w:t>
      </w:r>
    </w:p>
    <w:p>
      <w:pPr>
        <w:pStyle w:val="ListBullet"/>
      </w:pPr>
      <w:r>
        <w:t>Repeat B2B relationships and customer-specific tooling may create retention, but contract terms, churn and customer concentration must be tested.</w:t>
      </w:r>
    </w:p>
    <w:p>
      <w:pPr>
        <w:pStyle w:val="ListBullet"/>
      </w:pPr>
      <w:r>
        <w:t>A regional add-on could improve purchasing scale and customer reach, subject to integration capacity, purchase price, diligence and financing availability.</w:t>
      </w:r>
    </w:p>
    <w:p>
      <w:pPr>
        <w:pStyle w:val="Heading1"/>
      </w:pPr>
      <w:r>
        <w:t>7. Key risks</w:t>
      </w:r>
    </w:p>
    <w:p>
      <w:pPr>
        <w:pStyle w:val="ListBullet"/>
      </w:pPr>
      <w:r>
        <w:t>Customer concentration, contract duration, renewal terms and exposure to a small number of procurement teams.</w:t>
      </w:r>
    </w:p>
    <w:p>
      <w:pPr>
        <w:pStyle w:val="ListBullet"/>
      </w:pPr>
      <w:r>
        <w:t>Resin and other input-cost volatility; ability and timing to pass through cost inflation.</w:t>
      </w:r>
    </w:p>
    <w:p>
      <w:pPr>
        <w:pStyle w:val="ListBullet"/>
      </w:pPr>
      <w:r>
        <w:t>Production line installation risk, capex overruns, downtime, scrap rates and ramp-up utilization.</w:t>
      </w:r>
    </w:p>
    <w:p>
      <w:pPr>
        <w:pStyle w:val="ListBullet"/>
      </w:pPr>
      <w:r>
        <w:t>Environmental, worker-safety and packaging compliance requirements.</w:t>
      </w:r>
    </w:p>
    <w:p>
      <w:pPr>
        <w:pStyle w:val="ListBullet"/>
      </w:pPr>
      <w:r>
        <w:t>Seasonal working-capital needs, inventory obsolescence, receivable collection and supplier terms.</w:t>
      </w:r>
    </w:p>
    <w:p>
      <w:pPr>
        <w:pStyle w:val="ListBullet"/>
      </w:pPr>
      <w:r>
        <w:t>Management succession, hiring, incentives and key-person dependency.</w:t>
      </w:r>
    </w:p>
    <w:p>
      <w:pPr>
        <w:pStyle w:val="ListBullet"/>
      </w:pPr>
      <w:r>
        <w:t>Potential add-on acquisition quality, integration burden, valuation and financing.</w:t>
      </w:r>
    </w:p>
    <w:p>
      <w:pPr>
        <w:pStyle w:val="ListBullet"/>
      </w:pPr>
      <w:r>
        <w:t>Unverified financial statements, debt, liens, tax exposures and transaction terms.</w:t>
      </w:r>
    </w:p>
    <w:p>
      <w:pPr>
        <w:pStyle w:val="Heading1"/>
      </w:pPr>
      <w:r>
        <w:t>8. Management and organization</w:t>
      </w:r>
    </w:p>
    <w:p>
      <w:r>
        <w:t>The fictional case describes CEO Daniel Mercer as having 16 years of specialty manufacturing experience and COO Priya Shah as having 12 years in production operations and quality management. These biographies are invented. A real process should validate employment history, references, incentives, ownership, leadership depth, succession coverage, safety culture and ability to execute a multi-site expansion.</w:t>
      </w:r>
    </w:p>
    <w:p>
      <w:pPr>
        <w:pStyle w:val="Heading1"/>
      </w:pPr>
      <w:r>
        <w:t>9. Valuation and returns</w:t>
      </w:r>
    </w:p>
    <w:p>
      <w:r>
        <w:t>No entry valuation, debt-free/cash-free bridge, ownership percentage, leverage assumptions, exit multiple, holding period, IRR or MOIC is provided. A defensible valuation would require a relevant public-company and transaction peer set, consistent LTM/NTM metrics, normalization of EBITDA, net debt and lease treatment, and explicit adjustments for scale, control, liquidity and execution. Do not infer a multiple or target return from the capital amount alone.</w:t>
      </w:r>
    </w:p>
    <w:p>
      <w:pPr>
        <w:pStyle w:val="Heading1"/>
      </w:pPr>
      <w:r>
        <w:t>10. Diligence plan / information request</w:t>
      </w:r>
    </w:p>
    <w:p>
      <w:pPr>
        <w:pStyle w:val="ListNumber"/>
      </w:pPr>
      <w:r>
        <w:t>Three years of audited financial statements, monthly accounts and quality-of-earnings work.</w:t>
      </w:r>
    </w:p>
    <w:p>
      <w:pPr>
        <w:pStyle w:val="ListNumber"/>
      </w:pPr>
      <w:r>
        <w:t>Customer-level revenue, gross margin, contract terms, churn, price increases and top-customer exposure.</w:t>
      </w:r>
    </w:p>
    <w:p>
      <w:pPr>
        <w:pStyle w:val="ListNumber"/>
      </w:pPr>
      <w:r>
        <w:t>Production capacity, utilization, yield/scrap, downtime, maintenance and growth capex.</w:t>
      </w:r>
    </w:p>
    <w:p>
      <w:pPr>
        <w:pStyle w:val="ListNumber"/>
      </w:pPr>
      <w:r>
        <w:t>Supplier contracts, resin-price sensitivity, pass-through mechanisms and inventory ageing.</w:t>
      </w:r>
    </w:p>
    <w:p>
      <w:pPr>
        <w:pStyle w:val="ListNumber"/>
      </w:pPr>
      <w:r>
        <w:t>Environmental, safety, product quality, regulatory, tax, litigation and insurance records.</w:t>
      </w:r>
    </w:p>
    <w:p>
      <w:pPr>
        <w:pStyle w:val="ListNumber"/>
      </w:pPr>
      <w:r>
        <w:t>Debt schedule, liens, working-capital facilities, covenant package and cash conversion.</w:t>
      </w:r>
    </w:p>
    <w:p>
      <w:pPr>
        <w:pStyle w:val="ListNumber"/>
      </w:pPr>
      <w:r>
        <w:t>Detailed capital expenditure quotes, milestones, contingency and downside case.</w:t>
      </w:r>
    </w:p>
    <w:p>
      <w:pPr>
        <w:pStyle w:val="ListNumber"/>
      </w:pPr>
      <w:r>
        <w:t>Management references, organizational chart, incentive plan and succession.</w:t>
      </w:r>
    </w:p>
    <w:p>
      <w:pPr>
        <w:pStyle w:val="ListNumber"/>
      </w:pPr>
      <w:r>
        <w:t>Proposed valuation, ownership, governance, use of proceeds and investor rights.</w:t>
      </w:r>
    </w:p>
    <w:p>
      <w:pPr>
        <w:pStyle w:val="Heading1"/>
      </w:pPr>
      <w:r>
        <w:t>11. Preliminary conclusion</w:t>
      </w:r>
    </w:p>
    <w:p>
      <w:r>
        <w:t>The fictional case may be useful for demonstrating how a deal team can organize a growth-equity opportunity, but the current information is insufficient for an investment decision. The next step would be to validate the operating history, customer quality, capex plan and working-capital needs, then establish a supported valuation and transaction structure. Status: further diligence required; no recommendation made.</w:t>
      </w:r>
    </w:p>
    <w:p>
      <w:pPr>
        <w:pStyle w:val="Heading1"/>
      </w:pPr>
      <w:r>
        <w:t>Important disclaimer</w:t>
      </w:r>
    </w:p>
    <w:p>
      <w:r>
        <w:t>Northstar Packaging Solutions, its management, customers, financials, operating history, transaction, market claims and all assumptions are fictional and created solely for the Mandate prototype. They are not based on a real issuer or transaction. This document is not an offer, solicitation, investment recommendation or representation of investor interest.</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24E3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4E3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24E3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