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bookmarkStart w:id="0" w:name="_GoBack"/>
      <w:bookmarkEnd w:id="0"/>
      <w:r>
        <w:rPr/>
        <w:t>Solution apportée 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Automatisation du management lié aux Fonds</w:t>
      </w:r>
    </w:p>
    <w:p>
      <w:pPr>
        <w:pStyle w:val="style0"/>
        <w:rPr>
          <w:b/>
        </w:rPr>
      </w:pPr>
      <w:r>
        <w:rPr>
          <w:b/>
        </w:rPr>
        <w:t>Caractéristiques :</w:t>
      </w:r>
    </w:p>
    <w:p>
      <w:pPr>
        <w:pStyle w:val="style0"/>
        <w:spacing w:after="0" w:before="0"/>
        <w:contextualSpacing w:val="false"/>
        <w:rPr/>
      </w:pPr>
      <w:r>
        <w:rPr/>
        <w:t>Gestion de fonds et classes d’action</w:t>
      </w:r>
    </w:p>
    <w:p>
      <w:pPr>
        <w:pStyle w:val="style0"/>
        <w:spacing w:after="0" w:before="0"/>
        <w:contextualSpacing w:val="false"/>
        <w:rPr/>
      </w:pPr>
      <w:r>
        <w:rPr/>
        <w:t>Gestion des NAV journalières</w:t>
      </w:r>
    </w:p>
    <w:p>
      <w:pPr>
        <w:pStyle w:val="style0"/>
        <w:spacing w:after="0" w:before="0"/>
        <w:contextualSpacing w:val="false"/>
        <w:rPr/>
      </w:pPr>
      <w:r>
        <w:rPr/>
        <w:t xml:space="preserve">Support </w:t>
      </w:r>
      <w:r>
        <w:rPr/>
        <w:t>multi-monnaie</w:t>
      </w:r>
    </w:p>
    <w:p>
      <w:pPr>
        <w:pStyle w:val="style0"/>
        <w:spacing w:after="0" w:before="0"/>
        <w:contextualSpacing w:val="false"/>
        <w:rPr/>
      </w:pPr>
      <w:r>
        <w:rPr/>
        <w:t>Calcul des performances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>Graphiques</w:t>
        <w:tab/>
      </w:r>
      <w:r>
        <w:rPr>
          <w:rFonts w:ascii="Wingdings" w:hAnsi="Wingdings"/>
        </w:rPr>
        <w:t></w:t>
      </w:r>
      <w:r>
        <w:rPr/>
        <w:t xml:space="preserve"> performances sur périodes définies</w:t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ab/>
      </w:r>
      <w:r>
        <w:rPr>
          <w:rFonts w:ascii="Wingdings" w:hAnsi="Wingdings"/>
        </w:rPr>
        <w:t></w:t>
      </w:r>
      <w:r>
        <w:rPr/>
        <w:t xml:space="preserve"> alerte sur performances négatives </w:t>
        <w:tab/>
      </w:r>
    </w:p>
    <w:p>
      <w:pPr>
        <w:pStyle w:val="style0"/>
        <w:spacing w:after="0" w:before="0"/>
        <w:contextualSpacing w:val="false"/>
        <w:rPr/>
      </w:pPr>
      <w:r>
        <w:rPr/>
        <w:pict>
          <v:line from="91.65pt,7.45pt" id="shape_0" style="position:absolute;flip:x" to="345.1pt,7.85pt">
            <v:stroke color="#4579b8" endcap="flat" joinstyle="round"/>
            <v:fill detectmouseclick="t"/>
          </v:line>
        </w:pic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>Gestion des transactions et balances mensuelles</w:t>
      </w:r>
    </w:p>
    <w:p>
      <w:pPr>
        <w:pStyle w:val="style0"/>
        <w:spacing w:after="0" w:before="0"/>
        <w:ind w:hanging="0" w:left="1134" w:right="0"/>
        <w:contextualSpacing w:val="false"/>
        <w:rPr/>
      </w:pPr>
      <w:r>
        <w:rPr/>
        <w:t>Importation des fichiers</w:t>
      </w:r>
    </w:p>
    <w:p>
      <w:pPr>
        <w:pStyle w:val="style0"/>
        <w:spacing w:after="0" w:before="0"/>
        <w:ind w:hanging="0" w:left="1134" w:right="0"/>
        <w:contextualSpacing w:val="false"/>
        <w:rPr/>
      </w:pPr>
      <w:r>
        <w:rPr/>
      </w:r>
    </w:p>
    <w:p>
      <w:pPr>
        <w:pStyle w:val="style0"/>
        <w:spacing w:after="0" w:before="0"/>
        <w:ind w:hanging="0" w:left="2268" w:right="0"/>
        <w:contextualSpacing w:val="false"/>
        <w:rPr>
          <w:color w:val="808080"/>
        </w:rPr>
      </w:pPr>
      <w:r>
        <w:rPr>
          <w:color w:val="808080"/>
        </w:rPr>
        <w:t>Calcul des commissions</w:t>
      </w:r>
    </w:p>
    <w:p>
      <w:pPr>
        <w:pStyle w:val="style0"/>
        <w:spacing w:after="0" w:before="0"/>
        <w:ind w:hanging="0" w:left="3402" w:right="0"/>
        <w:contextualSpacing w:val="false"/>
        <w:rPr>
          <w:i/>
          <w:color w:val="808080"/>
        </w:rPr>
      </w:pPr>
      <w:r>
        <w:rPr>
          <w:i/>
          <w:color w:val="808080"/>
        </w:rPr>
        <w:t>Vendeur</w:t>
      </w:r>
    </w:p>
    <w:p>
      <w:pPr>
        <w:pStyle w:val="style0"/>
        <w:spacing w:after="0" w:before="0"/>
        <w:ind w:hanging="0" w:left="3402" w:right="0"/>
        <w:contextualSpacing w:val="false"/>
        <w:rPr>
          <w:i/>
          <w:color w:val="808080"/>
        </w:rPr>
      </w:pPr>
      <w:r>
        <w:rPr>
          <w:i/>
          <w:color w:val="808080"/>
        </w:rPr>
        <w:t>Distributeur</w:t>
      </w:r>
    </w:p>
    <w:p>
      <w:pPr>
        <w:pStyle w:val="style0"/>
        <w:spacing w:after="0" w:before="0"/>
        <w:ind w:hanging="0" w:left="3402" w:right="0"/>
        <w:contextualSpacing w:val="false"/>
        <w:rPr>
          <w:i/>
        </w:rPr>
      </w:pPr>
      <w:r>
        <w:rPr>
          <w:i/>
          <w:color w:val="808080"/>
        </w:rPr>
        <w:t>Vendeur + distributeur</w:t>
      </w:r>
      <w:r>
        <w:rPr>
          <w:i/>
        </w:rPr>
        <w:tab/>
      </w:r>
    </w:p>
    <w:p>
      <w:pPr>
        <w:pStyle w:val="style0"/>
        <w:spacing w:after="0" w:before="0"/>
        <w:ind w:hanging="0" w:left="3402" w:right="0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  <w:t xml:space="preserve">Gestion dynamique des règles </w:t>
      </w:r>
      <w:r>
        <w:rPr/>
        <w:t>de rétrocession</w:t>
      </w:r>
      <w:r>
        <w:rPr/>
        <w:t>.</w:t>
      </w:r>
    </w:p>
    <w:p>
      <w:pPr>
        <w:pStyle w:val="style0"/>
        <w:spacing w:after="0" w:before="0"/>
        <w:contextualSpacing w:val="false"/>
        <w:rPr/>
      </w:pPr>
      <w:r>
        <w:rPr/>
        <w:t>Génération de rapports</w:t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>Graphiques</w:t>
        <w:tab/>
      </w:r>
      <w:r>
        <w:rPr>
          <w:rFonts w:ascii="Wingdings" w:hAnsi="Wingdings"/>
        </w:rPr>
        <w:t></w:t>
      </w:r>
      <w:r>
        <w:rPr/>
        <w:t xml:space="preserve"> alerte sur pallier (à faire)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pict>
          <v:line from="91.65pt,6.65pt" id="shape_0" style="position:absolute;flip:x" to="345.1pt,7.05pt">
            <v:stroke color="#4a7ebb" endcap="flat" joinstyle="round"/>
            <v:fill detectmouseclick="t"/>
          </v:line>
        </w:pict>
      </w:r>
    </w:p>
    <w:p>
      <w:pPr>
        <w:pStyle w:val="style0"/>
        <w:spacing w:after="0" w:before="0"/>
        <w:contextualSpacing w:val="false"/>
        <w:rPr/>
      </w:pPr>
      <w:r>
        <w:rPr/>
        <w:t>Module de comptabilités des fonds AFC  (rapport pdf complet)</w:t>
      </w:r>
    </w:p>
    <w:p>
      <w:pPr>
        <w:pStyle w:val="style0"/>
        <w:spacing w:after="0" w:before="0"/>
        <w:contextualSpacing w:val="false"/>
        <w:rPr/>
      </w:pPr>
      <w:r>
        <w:rPr/>
        <w:t>Module  BEAMA - Belgian Asset Managers Association</w:t>
      </w:r>
    </w:p>
    <w:p>
      <w:pPr>
        <w:pStyle w:val="style0"/>
        <w:spacing w:after="0" w:before="0"/>
        <w:contextualSpacing w:val="false"/>
        <w:rPr/>
      </w:pPr>
      <w:r>
        <w:rPr/>
        <w:t>Module KIID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Avantages :</w:t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 xml:space="preserve">Automatisation : </w:t>
        <w:tab/>
        <w:t>des rapports</w:t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ab/>
        <w:t>de l’importation des données</w:t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ab/>
        <w:t>de l’intégrité des données</w:t>
      </w:r>
    </w:p>
    <w:p>
      <w:pPr>
        <w:pStyle w:val="style0"/>
        <w:tabs>
          <w:tab w:leader="none" w:pos="2268" w:val="left"/>
        </w:tabs>
        <w:spacing w:after="0" w:before="0"/>
        <w:contextualSpacing w:val="false"/>
        <w:rPr/>
      </w:pPr>
      <w:r>
        <w:rPr/>
        <w:tab/>
      </w:r>
    </w:p>
    <w:p>
      <w:pPr>
        <w:pStyle w:val="style0"/>
        <w:tabs>
          <w:tab w:leader="none" w:pos="2268" w:val="left"/>
          <w:tab w:leader="none" w:pos="5954" w:val="left"/>
        </w:tabs>
        <w:spacing w:after="0" w:before="240" w:line="100" w:lineRule="atLeast"/>
        <w:contextualSpacing w:val="false"/>
        <w:rPr/>
      </w:pPr>
      <w:r>
        <w:rPr/>
        <w:t xml:space="preserve"> </w:t>
        <w:pict>
          <v:shapetype id="shapetype_88" coordsize="21600,21600" o:spt="88" adj="10800,1800" path="m,qx@13@14l10800@5qy@15@16qx@17@18l10800@6qy@19@20xnsem,qx@13@14l10800@5qy@15@16qx@17@18l10800@6qy@19@20nfe">
            <v:stroke joinstyle="miter"/>
            <v:formulas>
              <v:f eqn="val #0"/>
              <v:f eqn="sum 21600 0 @0"/>
              <v:f eqn="min @1 @0"/>
              <v:f eqn="prod @2 1 2"/>
              <v:f eqn="val #1"/>
              <v:f eqn="sum @0 0 @4"/>
              <v:f eqn="sum height 0 @4"/>
              <v:f eqn="sumangle 0 45 0"/>
              <v:f eqn="cos 10800 @7"/>
              <v:f eqn="sin @4 @7"/>
              <v:f eqn="sum 0 @8 0"/>
              <v:f eqn="sum @4 0 @9"/>
              <v:f eqn="sum height @9 @4"/>
              <v:f eqn="sum 10800 0 0"/>
              <v:f eqn="sum @4 0 0"/>
              <v:f eqn="sum 10800 10800 0"/>
              <v:f eqn="sum @4 @5 0"/>
              <v:f eqn="sum 0 @15 10800"/>
              <v:f eqn="sum @4 @16 0"/>
              <v:f eqn="sum 0 10800 10800"/>
              <v:f eqn="sum @4 @6 0"/>
            </v:formulas>
            <v:path gradientshapeok="t" o:connecttype="rect" textboxrect="0,@11,@10,@12"/>
            <v:handles>
              <v:h position="10800,@4"/>
              <v:h position="21600,@0"/>
            </v:handles>
          </v:shapetype>
          <v:shape id="shape_0" style="position:absolute;margin-left:253.7pt;margin-top:4.9pt;width:3.5pt;height:51.45pt" type="shapetype_88">
            <v:wrap v:type="none"/>
            <v:fill detectmouseclick="t"/>
            <v:stroke color="#4579b8" endcap="flat" joinstyle="round"/>
          </v:shape>
        </w:pict>
      </w:r>
      <w:r>
        <w:rPr/>
        <w:t>Rapports :</w:t>
        <w:tab/>
        <w:t>Funds</w:t>
        <w:tab/>
        <w:t>pour vendeur, distributeur</w:t>
      </w:r>
    </w:p>
    <w:p>
      <w:pPr>
        <w:pStyle w:val="style0"/>
        <w:tabs>
          <w:tab w:leader="none" w:pos="2268" w:val="left"/>
          <w:tab w:leader="none" w:pos="5954" w:val="left"/>
        </w:tabs>
        <w:spacing w:after="0" w:before="0" w:line="100" w:lineRule="atLeast"/>
        <w:contextualSpacing w:val="false"/>
        <w:rPr/>
      </w:pPr>
      <w:r>
        <w:rPr/>
        <w:tab/>
        <w:t>Sub-Funds</w:t>
        <w:tab/>
        <w:t xml:space="preserve">ou </w:t>
      </w:r>
      <w:r>
        <w:rPr/>
        <w:t>fund</w:t>
      </w:r>
      <w:r>
        <w:rPr/>
        <w:t xml:space="preserve"> manager</w:t>
        <w:tab/>
        <w:t xml:space="preserve"> </w:t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  <w:tab/>
        <w:t>Share Class (temps défini)</w:t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  <w:t>Traitement :</w:t>
        <w:tab/>
        <w:t>Réduction du temps et des ressources nécessaires</w:t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tabs>
          <w:tab w:leader="none" w:pos="2268" w:val="left"/>
        </w:tabs>
        <w:spacing w:after="0" w:before="0" w:line="100" w:lineRule="atLeast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fr-CH"/>
    </w:rPr>
  </w:style>
  <w:style w:styleId="style15" w:type="character">
    <w:name w:val="Default Paragraph Font"/>
    <w:next w:val="style15"/>
    <w:rPr/>
  </w:style>
  <w:style w:styleId="style16" w:type="character">
    <w:name w:val="Texte de bulles C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/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2015-03-26T13:55:00Z</dcterms:created>
  <dc:creator>fsys</dc:creator>
  <cp:lastModifiedBy>fsys</cp:lastModifiedBy>
  <cp:lastPrinted>2015-03-26T13:56:00Z</cp:lastPrinted>
  <dcterms:modified xsi:type="dcterms:W3CDTF">2015-03-26T13:56:00Z</dcterms:modified>
  <cp:revision>3</cp:revision>
</cp:coreProperties>
</file>