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/>
          <w:b/>
          <w:sz w:val="28"/>
        </w:rPr>
        <w:t>Samuel Kokomoor</w:t>
      </w:r>
    </w:p>
    <w:p>
      <w:pPr>
        <w:spacing w:before="0" w:after="20"/>
        <w:jc w:val="center"/>
      </w:pPr>
      <w:r>
        <w:rPr>
          <w:rFonts w:ascii="Calibri" w:hAnsi="Calibri"/>
          <w:b w:val="0"/>
          <w:sz w:val="18"/>
        </w:rPr>
        <w:t>Boston, MA | kokomoor@mit.edu | (860) 389-5347 | linkedin.com/in/sam-kokomoor-b90629247/ | github.com/kokomoor</w:t>
      </w:r>
    </w:p>
    <w:p>
      <w:pPr>
        <w:spacing w:before="0" w:after="40"/>
        <w:jc w:val="center"/>
      </w:pPr>
      <w:r>
        <w:rPr>
          <w:rFonts w:ascii="Calibri" w:hAnsi="Calibri"/>
          <w:b/>
          <w:sz w:val="18"/>
        </w:rPr>
        <w:t>DoD Final Secret (active)</w:t>
      </w:r>
    </w:p>
    <w:p>
      <w:pPr>
        <w:spacing w:before="160" w:after="40"/>
        <w:pBdr>
          <w:bottom w:val="single" w:sz="4" w:space="1" w:color="333333"/>
        </w:pBdr>
      </w:pPr>
      <w:r>
        <w:rPr>
          <w:rFonts w:ascii="Calibri" w:hAnsi="Calibri"/>
          <w:b/>
          <w:sz w:val="22"/>
        </w:rPr>
        <w:t>PROFESSIONAL SUMMARY</w:t>
      </w:r>
    </w:p>
    <w:p>
      <w:pPr>
        <w:spacing w:before="20" w:after="20"/>
      </w:pPr>
      <w:r>
        <w:rPr>
          <w:rFonts w:ascii="Calibri" w:hAnsi="Calibri"/>
          <w:sz w:val="20"/>
        </w:rPr>
        <w:t>Director-level program management leader with 8+ years scaling PMO operations, leading cross-functional enterprise programs, and building governance frameworks across defense, technology, and manufacturing environments.</w:t>
      </w:r>
    </w:p>
    <w:p>
      <w:pPr>
        <w:spacing w:before="160" w:after="40"/>
        <w:pBdr>
          <w:bottom w:val="single" w:sz="4" w:space="1" w:color="333333"/>
        </w:pBdr>
      </w:pPr>
      <w:r>
        <w:rPr>
          <w:rFonts w:ascii="Calibri" w:hAnsi="Calibri"/>
          <w:b/>
          <w:sz w:val="22"/>
        </w:rPr>
        <w:t>EXPERIENCE</w:t>
      </w:r>
    </w:p>
    <w:p>
      <w:pPr>
        <w:spacing w:before="80" w:after="0"/>
      </w:pPr>
      <w:r>
        <w:rPr>
          <w:rFonts w:ascii="Calibri" w:hAnsi="Calibri"/>
          <w:b/>
          <w:sz w:val="20"/>
        </w:rPr>
        <w:t>General Dynamics Electric Boat - Engineer I -&gt; Engineer II</w:t>
      </w:r>
      <w:r>
        <w:rPr>
          <w:rFonts w:ascii="Calibri" w:hAnsi="Calibri"/>
          <w:sz w:val="20"/>
        </w:rPr>
        <w:t xml:space="preserve">  |  </w:t>
      </w:r>
      <w:r>
        <w:rPr>
          <w:rFonts w:ascii="Calibri" w:hAnsi="Calibri"/>
          <w:sz w:val="20"/>
        </w:rPr>
        <w:t>2021-2023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Led cross-functional program management for submarine flight-critical hardware testing programs, managing team of 5 technicians and 3 junior engineers with full accountability for deliverables and stakeholder coordination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Executed enterprise-scale qualification testing program for Columbia-class submarine flight-critical hardware, ensuring governance compliance with MIL-STD requirements across complex multi-stakeholder environment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Designed and implemented process improvement initiatives saving the US Navy $2M in testing and qualification costs through operating model optimization and risk mitigation strategies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Received executive leadership commendation for delivering hardware testbed Mk. IV program ahead of schedule and under budget through disciplined program management and stakeholder alignment</w:t>
      </w:r>
    </w:p>
    <w:p>
      <w:pPr>
        <w:spacing w:before="80" w:after="0"/>
      </w:pPr>
      <w:r>
        <w:rPr>
          <w:rFonts w:ascii="Calibri" w:hAnsi="Calibri"/>
          <w:b/>
          <w:sz w:val="20"/>
        </w:rPr>
        <w:t>MIT Lincoln Laboratory - Embedded Software Engineer</w:t>
      </w:r>
      <w:r>
        <w:rPr>
          <w:rFonts w:ascii="Calibri" w:hAnsi="Calibri"/>
          <w:sz w:val="20"/>
        </w:rPr>
        <w:t xml:space="preserve">  |  </w:t>
      </w:r>
      <w:r>
        <w:rPr>
          <w:rFonts w:ascii="Calibri" w:hAnsi="Calibri"/>
          <w:sz w:val="20"/>
        </w:rPr>
        <w:t>2023-2025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Led embedded software development portfolio for $100M Army RADAR modernization program, coordinating cross-functional execution across next-generation phased array systems with full program accountability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Architected hardware-in-the-loop test platform bridging C++ firmware to Python data pipeline, enabling automated regression testing across 200+ test cases through systematic process design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Successfully deployed software to Reagan Test Site, Kwajalein Atoll for mission-critical RADAR systems in operational DoD environment, ensuring governance compliance and stakeholder satisfaction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Implemented arbitrary waveform generation algorithms for RADAR phased array beam steering, optimizing signal fidelity for multi-target tracking</w:t>
      </w:r>
    </w:p>
    <w:p>
      <w:pPr>
        <w:spacing w:before="80" w:after="0"/>
      </w:pPr>
      <w:r>
        <w:rPr>
          <w:rFonts w:ascii="Calibri" w:hAnsi="Calibri"/>
          <w:b/>
          <w:sz w:val="20"/>
        </w:rPr>
        <w:t>Gauntlet-42 LLC - Cofounder</w:t>
      </w:r>
      <w:r>
        <w:rPr>
          <w:rFonts w:ascii="Calibri" w:hAnsi="Calibri"/>
          <w:sz w:val="20"/>
        </w:rPr>
        <w:t xml:space="preserve">  |  </w:t>
      </w:r>
      <w:r>
        <w:rPr>
          <w:rFonts w:ascii="Calibri" w:hAnsi="Calibri"/>
          <w:sz w:val="20"/>
        </w:rPr>
        <w:t>2022-Present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Built and scaled 3-person engineering team with zero turnover across 3+ years, establishing operating model, governance frameworks, and capability development processes for sustained organizational growth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Led end-to-end program management for Spyglass AI-native automated public-records researcher, coordinating cross-functional development of OCR, NLP/LLM extraction, and recursive orchestration pipeline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Designed enterprise-scale OCR to NLP/LLM extraction to recursive orchestration pipeline processing thousands of public records with &lt;2% error rate through systematic quality governance and risk management</w:t>
      </w:r>
    </w:p>
    <w:p>
      <w:pPr>
        <w:spacing w:before="80" w:after="0"/>
      </w:pPr>
      <w:r>
        <w:rPr>
          <w:rFonts w:ascii="Calibri" w:hAnsi="Calibri"/>
          <w:b/>
          <w:sz w:val="20"/>
        </w:rPr>
        <w:t>MIT Sloan Action Learning - Team Lead</w:t>
      </w:r>
      <w:r>
        <w:rPr>
          <w:rFonts w:ascii="Calibri" w:hAnsi="Calibri"/>
          <w:sz w:val="20"/>
        </w:rPr>
        <w:t xml:space="preserve">  |  </w:t>
      </w:r>
      <w:r>
        <w:rPr>
          <w:rFonts w:ascii="Calibri" w:hAnsi="Calibri"/>
          <w:sz w:val="20"/>
        </w:rPr>
        <w:t>2025-2026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Led cross-functional GTM strategy and technical requirements definition for EMR data product at Helium Health, coordinating stakeholder integration across international operations in Nairobi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Built genAI analytics MVP detecting discrimination patterns across 10K+ court documents for ICAAD international human rights NGO, managing program delivery and stakeholder communication</w:t>
      </w:r>
    </w:p>
    <w:p>
      <w:pPr>
        <w:spacing w:before="160" w:after="40"/>
        <w:pBdr>
          <w:bottom w:val="single" w:sz="4" w:space="1" w:color="333333"/>
        </w:pBdr>
      </w:pPr>
      <w:r>
        <w:rPr>
          <w:rFonts w:ascii="Calibri" w:hAnsi="Calibri"/>
          <w:b/>
          <w:sz w:val="22"/>
        </w:rPr>
        <w:t>EDUCATION</w:t>
      </w:r>
    </w:p>
    <w:p>
      <w:pPr>
        <w:spacing w:before="80" w:after="0"/>
      </w:pPr>
      <w:r>
        <w:rPr>
          <w:rFonts w:ascii="Calibri" w:hAnsi="Calibri"/>
          <w:b/>
          <w:sz w:val="20"/>
        </w:rPr>
        <w:t>MIT Sloan School of Management - MBA</w:t>
      </w:r>
      <w:r>
        <w:rPr>
          <w:rFonts w:ascii="Calibri" w:hAnsi="Calibri"/>
          <w:sz w:val="20"/>
        </w:rPr>
        <w:t xml:space="preserve">  |  </w:t>
      </w:r>
      <w:r>
        <w:rPr>
          <w:rFonts w:ascii="Calibri" w:hAnsi="Calibri"/>
          <w:sz w:val="20"/>
        </w:rPr>
        <w:t>May 2026 | GPA: 4.0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GenAI Lab project lead, built LLM-powered analytics tools for enterprise research workflows, coordinating cross-functional development and stakeholder requirements definition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Cross-registered Nuclear Science &amp; Engineering - reactor physics, systems design</w:t>
      </w:r>
    </w:p>
    <w:p>
      <w:pPr>
        <w:spacing w:before="80" w:after="0"/>
      </w:pPr>
      <w:r>
        <w:rPr>
          <w:rFonts w:ascii="Calibri" w:hAnsi="Calibri"/>
          <w:b/>
          <w:sz w:val="20"/>
        </w:rPr>
        <w:t>University of Connecticut - BS Computer Engineering, BS Electrical Engineering, BA Computer Science; Minor in Mathematics</w:t>
      </w:r>
      <w:r>
        <w:rPr>
          <w:rFonts w:ascii="Calibri" w:hAnsi="Calibri"/>
          <w:sz w:val="20"/>
        </w:rPr>
        <w:t xml:space="preserve">  |  </w:t>
      </w:r>
      <w:r>
        <w:rPr>
          <w:rFonts w:ascii="Calibri" w:hAnsi="Calibri"/>
          <w:sz w:val="20"/>
        </w:rPr>
        <w:t>2021 | GPA: 3.429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Naval Science &amp; Technology sub-plan - submarine systems, naval architecture fundamentals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LSTM time-series prediction research on near-surface wave and wake forces for simulated hydrofoils, modeling how submarine wake signatures become more detectable near the surface</w:t>
      </w:r>
    </w:p>
    <w:p>
      <w:pPr>
        <w:spacing w:before="160" w:after="40"/>
        <w:pBdr>
          <w:bottom w:val="single" w:sz="4" w:space="1" w:color="333333"/>
        </w:pBdr>
      </w:pPr>
      <w:r>
        <w:rPr>
          <w:rFonts w:ascii="Calibri" w:hAnsi="Calibri"/>
          <w:b/>
          <w:sz w:val="22"/>
        </w:rPr>
        <w:t>TECHNICAL SKILLS</w:t>
      </w:r>
    </w:p>
    <w:p>
      <w:pPr>
        <w:spacing w:before="20" w:after="20"/>
      </w:pPr>
      <w:r>
        <w:rPr>
          <w:rFonts w:ascii="Calibri" w:hAnsi="Calibri"/>
          <w:sz w:val="20"/>
        </w:rPr>
        <w:t>Program Management Office (PMO), Cross-functional Leadership, Portfolio Management, Operating Model Design, Stakeholder Management, Enterprise Program Management, Governance &amp; Compliance, Python, Defense Systems, Change Management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