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3D926">
      <w:pPr>
        <w:pStyle w:val="2"/>
        <w:jc w:val="center"/>
      </w:pPr>
      <w:r>
        <w:t>NIPT 数据挖掘与机器学习应用补充说明</w:t>
      </w:r>
    </w:p>
    <w:p w14:paraId="0360116F">
      <w:pPr>
        <w:pStyle w:val="3"/>
      </w:pPr>
      <w:r>
        <w:rPr>
          <w:rFonts w:hint="eastAsia"/>
          <w:lang w:val="en-US" w:eastAsia="zh-CN"/>
        </w:rPr>
        <w:t>1.</w:t>
      </w:r>
      <w:r>
        <w:t>作品创意</w:t>
      </w:r>
    </w:p>
    <w:p w14:paraId="096C37B0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本作品紧扣无创产前检测（NIPT）临床核心痛点，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以NIPT最佳时点选择作为目标，</w:t>
      </w:r>
      <w:r>
        <w:rPr>
          <w:rFonts w:hint="eastAsia" w:ascii="宋体" w:hAnsi="宋体" w:eastAsia="宋体" w:cs="宋体"/>
          <w:sz w:val="24"/>
          <w:szCs w:val="24"/>
        </w:rPr>
        <w:t>将数据挖掘与机器学习技术深度融合，充分考虑孕妇 BMI、孕周等个体差异特征，构建个性化分析模型，旨在为临床提供更精准、更具针对性的检测方案，进一步提升 NIPT 检测的准确性，降低潜在医疗风险，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从而为孕妇提供一份参考。</w:t>
      </w:r>
    </w:p>
    <w:p w14:paraId="75DCA396">
      <w:pPr>
        <w:pStyle w:val="3"/>
      </w:pPr>
      <w:r>
        <w:t>技术应用</w:t>
      </w:r>
    </w:p>
    <w:p w14:paraId="7B65E50F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数据预处理：</w:t>
      </w:r>
    </w:p>
    <w:p w14:paraId="6AEF6E8F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①首先进行数据预处理，对缺失值、重复值和异常值进行逐个解决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</w:t>
      </w:r>
      <w:r>
        <w:rPr>
          <w:rFonts w:hint="eastAsia" w:ascii="宋体" w:hAnsi="宋体" w:eastAsia="宋体" w:cs="宋体"/>
          <w:sz w:val="24"/>
          <w:szCs w:val="24"/>
        </w:rPr>
        <w:t>包括日期格式统一、孕周数值化转换、缺失值填充、异常值过滤与冗余字段删除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E801AE7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</w:t>
      </w:r>
      <w:r>
        <w:rPr>
          <w:rFonts w:hint="eastAsia" w:ascii="宋体" w:hAnsi="宋体" w:eastAsia="宋体" w:cs="宋体"/>
          <w:sz w:val="24"/>
          <w:szCs w:val="24"/>
        </w:rPr>
        <w:t>同时通过特征衍生（如 BMI 平方项、孕周 - BMI 交互项）和类别变量编码（标签编码、独热编码）丰富分析维度，结合 SMOTE 算法平衡样本分布，为建模奠定高质量数据基础。</w:t>
      </w:r>
    </w:p>
    <w:p w14:paraId="33805327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建模方法：整合多种机器学习与统计模型，针对性解决核心问题。</w:t>
      </w:r>
    </w:p>
    <w:p w14:paraId="70C33BF9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</w:t>
      </w:r>
      <w:r>
        <w:rPr>
          <w:rFonts w:hint="eastAsia" w:ascii="宋体" w:hAnsi="宋体" w:eastAsia="宋体" w:cs="宋体"/>
          <w:sz w:val="24"/>
          <w:szCs w:val="24"/>
        </w:rPr>
        <w:t>通过随机森林模型拟合 Y 染色体浓度变化规律</w:t>
      </w:r>
    </w:p>
    <w:p w14:paraId="0AD1B3D0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</w:t>
      </w:r>
      <w:r>
        <w:rPr>
          <w:rFonts w:hint="eastAsia" w:ascii="宋体" w:hAnsi="宋体" w:eastAsia="宋体" w:cs="宋体"/>
          <w:sz w:val="24"/>
          <w:szCs w:val="24"/>
        </w:rPr>
        <w:t>结合 Cox 比例风险模型与 Kaplan-Meier 生存分析确定不同 BMI 分组的最佳检测时点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DC743BB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</w:t>
      </w:r>
      <w:r>
        <w:rPr>
          <w:rFonts w:hint="eastAsia" w:ascii="宋体" w:hAnsi="宋体" w:eastAsia="宋体" w:cs="宋体"/>
          <w:sz w:val="24"/>
          <w:szCs w:val="24"/>
        </w:rPr>
        <w:t>用决策树、KNN、高斯朴素贝叶斯、逻辑回归等模型，整合染色体 Z 值、GC 含量等特征，实现胎儿染色体异常精准判定。</w:t>
      </w:r>
    </w:p>
    <w:p w14:paraId="6FC7F15C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default"/>
          <w:b w:val="0"/>
          <w:color w:val="000000"/>
          <w:lang w:val="en-US" w:eastAsia="zh-CN"/>
        </w:rPr>
      </w:pPr>
      <w:r>
        <w:rPr>
          <w:rFonts w:hint="default"/>
          <w:b w:val="0"/>
          <w:color w:val="000000"/>
          <w:lang w:val="en-US" w:eastAsia="zh-CN"/>
        </w:rPr>
        <w:drawing>
          <wp:inline distT="0" distB="0" distL="114300" distR="114300">
            <wp:extent cx="5201920" cy="2828290"/>
            <wp:effectExtent l="0" t="0" r="5080" b="3810"/>
            <wp:docPr id="1" name="图片 1" descr="103ffbc6453c7e438ad1026d91e14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3ffbc6453c7e438ad1026d91e143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B9D1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b w:val="0"/>
          <w:color w:val="000000"/>
          <w:lang w:val="en-US" w:eastAsia="zh-CN"/>
        </w:rPr>
      </w:pPr>
      <w:r>
        <w:rPr>
          <w:rFonts w:hint="eastAsia" w:eastAsia="宋体"/>
          <w:vertAlign w:val="baseline"/>
          <w:lang w:eastAsia="zh-CN"/>
        </w:rPr>
        <w:drawing>
          <wp:inline distT="0" distB="0" distL="114300" distR="114300">
            <wp:extent cx="3730625" cy="2987675"/>
            <wp:effectExtent l="0" t="0" r="3175" b="9525"/>
            <wp:docPr id="2" name="图片 2" descr="576f5154d61e9bfc51bdea9f8e333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76f5154d61e9bfc51bdea9f8e3334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14265" cy="4073525"/>
            <wp:effectExtent l="0" t="0" r="635" b="3175"/>
            <wp:docPr id="3" name="图片 3" descr="问题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问题三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265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DD447">
      <w:pPr>
        <w:pStyle w:val="1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验证体系：构建多维度验证机制，通过相关性分析、误差模拟、模型评估指标（精确率 96%、R²=0.8557）验证模型可靠性，同时通过方差分析、鲁棒性测试确保结果稳定性，全方位保障模型的临床适用性。</w:t>
      </w:r>
    </w:p>
    <w:tbl>
      <w:tblPr>
        <w:tblStyle w:val="11"/>
        <w:tblW w:w="0" w:type="auto"/>
        <w:tblInd w:w="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1298"/>
        <w:gridCol w:w="1352"/>
        <w:gridCol w:w="1336"/>
        <w:gridCol w:w="1299"/>
        <w:gridCol w:w="1299"/>
        <w:gridCol w:w="1324"/>
      </w:tblGrid>
      <w:tr w14:paraId="4F705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 w:val="0"/>
            <w:vAlign w:val="top"/>
          </w:tcPr>
          <w:p w14:paraId="6DDB26D0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BMI分组</w:t>
            </w:r>
          </w:p>
        </w:tc>
        <w:tc>
          <w:tcPr>
            <w:tcW w:w="139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vAlign w:val="top"/>
          </w:tcPr>
          <w:p w14:paraId="05FFA07D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coef</w:t>
            </w:r>
          </w:p>
        </w:tc>
        <w:tc>
          <w:tcPr>
            <w:tcW w:w="139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vAlign w:val="top"/>
          </w:tcPr>
          <w:p w14:paraId="52D56919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exp(coef)</w:t>
            </w:r>
          </w:p>
        </w:tc>
        <w:tc>
          <w:tcPr>
            <w:tcW w:w="139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vAlign w:val="top"/>
          </w:tcPr>
          <w:p w14:paraId="115011F7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se(coef)</w:t>
            </w:r>
          </w:p>
        </w:tc>
        <w:tc>
          <w:tcPr>
            <w:tcW w:w="139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vAlign w:val="top"/>
          </w:tcPr>
          <w:p w14:paraId="1126DECE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z</w:t>
            </w:r>
          </w:p>
        </w:tc>
        <w:tc>
          <w:tcPr>
            <w:tcW w:w="139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vAlign w:val="top"/>
          </w:tcPr>
          <w:p w14:paraId="6A4F5C59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p</w:t>
            </w:r>
          </w:p>
        </w:tc>
        <w:tc>
          <w:tcPr>
            <w:tcW w:w="14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vAlign w:val="top"/>
          </w:tcPr>
          <w:p w14:paraId="1A2E52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ascii="Symbol" w:hAnsi="Symbol" w:eastAsia="宋体" w:cs="Symbol"/>
                <w:b w:val="0"/>
                <w:color w:val="000000"/>
                <w:kern w:val="0"/>
                <w:sz w:val="23"/>
                <w:szCs w:val="23"/>
                <w:lang w:val="en-US" w:eastAsia="zh-CN" w:bidi="ar"/>
              </w:rPr>
              <w:t>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lang w:val="en-US" w:eastAsia="zh-CN" w:bidi="ar"/>
              </w:rPr>
              <w:t>log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vertAlign w:val="sub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i/>
                <w:iCs/>
                <w:color w:val="000000"/>
                <w:kern w:val="0"/>
                <w:sz w:val="23"/>
                <w:szCs w:val="23"/>
                <w:vertAlign w:val="superscript"/>
                <w:lang w:val="en-US" w:eastAsia="zh-CN" w:bidi="ar"/>
              </w:rPr>
              <w:t>p</w:t>
            </w:r>
          </w:p>
        </w:tc>
      </w:tr>
      <w:tr w14:paraId="71A0E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3B528C1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28,32)</w:t>
            </w:r>
          </w:p>
        </w:tc>
        <w:tc>
          <w:tcPr>
            <w:tcW w:w="139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6641A52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0.51</w:t>
            </w:r>
          </w:p>
        </w:tc>
        <w:tc>
          <w:tcPr>
            <w:tcW w:w="139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25A33A48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1.67</w:t>
            </w:r>
          </w:p>
        </w:tc>
        <w:tc>
          <w:tcPr>
            <w:tcW w:w="139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622FA990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0.26</w:t>
            </w:r>
          </w:p>
        </w:tc>
        <w:tc>
          <w:tcPr>
            <w:tcW w:w="139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68C5D880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2.00</w:t>
            </w:r>
          </w:p>
        </w:tc>
        <w:tc>
          <w:tcPr>
            <w:tcW w:w="139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487A9E23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0.05</w:t>
            </w:r>
          </w:p>
        </w:tc>
        <w:tc>
          <w:tcPr>
            <w:tcW w:w="14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790D47E1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4.46</w:t>
            </w:r>
          </w:p>
        </w:tc>
      </w:tr>
      <w:tr w14:paraId="6B007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5D415F9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(32,36)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673FD84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0.52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67F079AA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1.67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61991964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0.26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6B3EE01C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2.00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083E06D7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0.04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7AD83F6E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4.48</w:t>
            </w:r>
          </w:p>
        </w:tc>
      </w:tr>
      <w:tr w14:paraId="3FF3D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19C0455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(36,40)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007489D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-0.32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2C8805B1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0.73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3F24EEC5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0.28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35C13B04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-1.12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76708D6A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0.26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0231E713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1.93</w:t>
            </w:r>
          </w:p>
        </w:tc>
      </w:tr>
      <w:tr w14:paraId="6AF07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vAlign w:val="top"/>
          </w:tcPr>
          <w:p w14:paraId="70AE198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40以上</w:t>
            </w:r>
          </w:p>
        </w:tc>
        <w:tc>
          <w:tcPr>
            <w:tcW w:w="139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vAlign w:val="top"/>
          </w:tcPr>
          <w:p w14:paraId="5F32C35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-0.13</w:t>
            </w:r>
          </w:p>
        </w:tc>
        <w:tc>
          <w:tcPr>
            <w:tcW w:w="139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vAlign w:val="top"/>
          </w:tcPr>
          <w:p w14:paraId="01145FDA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0.88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vAlign w:val="top"/>
          </w:tcPr>
          <w:p w14:paraId="1A0BE388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0.37</w:t>
            </w:r>
          </w:p>
        </w:tc>
        <w:tc>
          <w:tcPr>
            <w:tcW w:w="139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vAlign w:val="top"/>
          </w:tcPr>
          <w:p w14:paraId="40D77A74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-0.34</w:t>
            </w:r>
          </w:p>
        </w:tc>
        <w:tc>
          <w:tcPr>
            <w:tcW w:w="139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vAlign w:val="top"/>
          </w:tcPr>
          <w:p w14:paraId="359CFE09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0.74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vAlign w:val="top"/>
          </w:tcPr>
          <w:p w14:paraId="7648C873">
            <w:pPr>
              <w:spacing w:line="360" w:lineRule="auto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0.4</w:t>
            </w:r>
          </w:p>
        </w:tc>
      </w:tr>
      <w:bookmarkEnd w:id="0"/>
    </w:tbl>
    <w:p w14:paraId="35BCB974">
      <w:pPr>
        <w:pStyle w:val="1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A0EE0F7">
      <w:pPr>
        <w:pStyle w:val="1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302375" cy="2105025"/>
            <wp:effectExtent l="0" t="0" r="9525" b="3175"/>
            <wp:docPr id="7" name="图片 7" descr="58bc55725d813655f93c72fad6819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8bc55725d813655f93c72fad6819fd"/>
                    <pic:cNvPicPr>
                      <a:picLocks noChangeAspect="1"/>
                    </pic:cNvPicPr>
                  </pic:nvPicPr>
                  <pic:blipFill>
                    <a:blip r:embed="rId7"/>
                    <a:srcRect t="10840" r="-171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7A317">
      <w:pPr>
        <w:pStyle w:val="1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D452822">
      <w:pPr>
        <w:pStyle w:val="3"/>
      </w:pPr>
      <w:r>
        <w:t>核心结论</w:t>
      </w:r>
    </w:p>
    <w:p w14:paraId="52ABE0C0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最佳检测时点：基于 BMI 分组确定个性化检测方案，20.0≤BMI&lt;28.0 和 36.0≤BMI&lt;40.0 组最佳时点为 175.0 天，28.0≤BMI&lt;36.0 组为 161.0 天，BMI≥40.0 组为 168.0 天，该时点设置可有效提升检测达标率。</w:t>
      </w:r>
    </w:p>
    <w:p w14:paraId="42CB2246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异常判定核心特征：21 号染色体 Z 值是判定胎儿异常的关键指标，不健康胎儿的 Z 值明显偏离 0 值，集中在 2 以上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结合 13 号、18 号染色体 Z 值及 GC 含量等特征，模型总体准确率达 95%，可精准识别三大染色体非整倍体。</w:t>
      </w:r>
    </w:p>
    <w:p w14:paraId="4A0FF028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关键影响规律：检测孕周与 Y 染色体浓度呈正相关，随孕周增加浓度中位数上升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孕妇 BMI 与 Y 染色体浓度呈负相关，BMI 越高浓度整体越低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年龄、身高对达标孕周影响微弱（相关系数 &lt; 0.25），为临床检测优化提供明确数据支撑。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337935" cy="2226945"/>
            <wp:effectExtent l="0" t="0" r="12065" b="8255"/>
            <wp:docPr id="5" name="图片 5" descr="e16f9ff2daae1fa1b9a92acdc46f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16f9ff2daae1fa1b9a92acdc46f807"/>
                    <pic:cNvPicPr>
                      <a:picLocks noChangeAspect="1"/>
                    </pic:cNvPicPr>
                  </pic:nvPicPr>
                  <pic:blipFill>
                    <a:blip r:embed="rId8"/>
                    <a:srcRect t="12083" r="-272"/>
                    <a:stretch>
                      <a:fillRect/>
                    </a:stretch>
                  </pic:blipFill>
                  <pic:spPr>
                    <a:xfrm>
                      <a:off x="0" y="0"/>
                      <a:ext cx="633793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407785" cy="4834255"/>
            <wp:effectExtent l="0" t="0" r="5715" b="4445"/>
            <wp:docPr id="4" name="图片 4" descr="微信图片_20250906225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0906225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483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7D205A"/>
    <w:multiLevelType w:val="singleLevel"/>
    <w:tmpl w:val="D67D205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37777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sz w:val="21"/>
      <w:szCs w:val="22"/>
    </w:rPr>
  </w:style>
  <w:style w:type="character" w:customStyle="1" w:styleId="16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7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861</Words>
  <Characters>982</Characters>
  <TotalTime>0</TotalTime>
  <ScaleCrop>false</ScaleCrop>
  <LinksUpToDate>false</LinksUpToDate>
  <CharactersWithSpaces>1054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2025-12-04T10:59:00Z</dcterms:created>
  <dc:creator>Un-named</dc:creator>
  <cp:lastModifiedBy>ヾ欣の言゛</cp:lastModifiedBy>
  <dcterms:modified xsi:type="dcterms:W3CDTF">2025-12-04T11:14:49Z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eyJoZGlkIjoiZjVkZjg4NzI0MTI2NDI1NDE4YTQ1MDNjYzhkZjExYjIiLCJ1c2VySWQiOiIzNzAwOTYwODAifQ==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F0C6C2481B13443D9D8FF547F180836A_13</vt:lpwstr>
  </property>
</Properties>
</file>