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1680" w:afterLines="700"/>
        <w:jc w:val="center"/>
        <w:rPr>
          <w:rFonts w:ascii="黑体" w:hAnsi="黑体" w:eastAsia="黑体"/>
          <w:spacing w:val="50"/>
          <w:sz w:val="46"/>
          <w:szCs w:val="46"/>
        </w:rPr>
      </w:pPr>
      <w:r>
        <w:rPr>
          <w:rFonts w:hint="eastAsia" w:ascii="黑体" w:hAnsi="黑体" w:eastAsia="黑体"/>
          <w:spacing w:val="50"/>
          <w:sz w:val="46"/>
          <w:szCs w:val="46"/>
        </w:rPr>
        <w:t>专业学位研究生学位论文开题报告表</w:t>
      </w:r>
    </w:p>
    <w:p>
      <w:pPr>
        <w:tabs>
          <w:tab w:val="left" w:pos="1276"/>
        </w:tabs>
        <w:spacing w:after="360" w:afterLines="150"/>
        <w:rPr>
          <w:rFonts w:ascii="黑体" w:hAnsi="黑体" w:eastAsia="黑体"/>
          <w:sz w:val="30"/>
          <w:szCs w:val="30"/>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t>□硕士</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pacing w:val="100"/>
          <w:kern w:val="0"/>
          <w:sz w:val="30"/>
          <w:fitText w:val="1800" w:id="0"/>
        </w:rPr>
        <w:t>培养方</w:t>
      </w:r>
      <w:r>
        <w:rPr>
          <w:rFonts w:hint="eastAsia" w:ascii="黑体" w:eastAsia="黑体"/>
          <w:kern w:val="0"/>
          <w:sz w:val="30"/>
          <w:fitText w:val="1800" w:id="0"/>
        </w:rPr>
        <w:t>式</w:t>
      </w:r>
      <w:r>
        <w:rPr>
          <w:rFonts w:hint="eastAsia" w:ascii="黑体" w:eastAsia="黑体"/>
          <w:sz w:val="30"/>
        </w:rPr>
        <w:t>：</w:t>
      </w:r>
      <w:r>
        <w:rPr>
          <w:rFonts w:hint="eastAsia" w:ascii="黑体" w:hAnsi="黑体" w:eastAsia="黑体"/>
          <w:sz w:val="30"/>
          <w:szCs w:val="30"/>
        </w:rPr>
        <w:t xml:space="preserve">□全日制  </w:t>
      </w:r>
      <w:r>
        <w:rPr>
          <w:rFonts w:ascii="黑体" w:hAnsi="黑体" w:eastAsia="黑体"/>
          <w:sz w:val="30"/>
          <w:szCs w:val="30"/>
        </w:rPr>
        <w:t xml:space="preserve">   </w:t>
      </w:r>
      <w:r>
        <w:rPr>
          <w:rFonts w:hint="eastAsia" w:ascii="黑体" w:hAnsi="黑体" w:eastAsia="黑体"/>
          <w:sz w:val="30"/>
          <w:szCs w:val="30"/>
        </w:rPr>
        <w:t xml:space="preserve"> </w:t>
      </w:r>
      <w:r>
        <w:rPr>
          <w:rFonts w:ascii="黑体" w:hAnsi="黑体" w:eastAsia="黑体"/>
          <w:sz w:val="30"/>
          <w:szCs w:val="30"/>
        </w:rPr>
        <w:t>√</w:t>
      </w:r>
      <w:r>
        <w:rPr>
          <w:rFonts w:hint="eastAsia" w:ascii="黑体" w:hAnsi="黑体" w:eastAsia="黑体"/>
          <w:sz w:val="30"/>
          <w:szCs w:val="30"/>
        </w:rPr>
        <w:t>□非全日制</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专业学位类别及领域：</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机械工程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机械与电气工程学院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202052040730</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施杰越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kern w:val="0"/>
          <w:sz w:val="30"/>
          <w:fitText w:val="1800" w:id="1"/>
        </w:rPr>
        <w:t>论文题</w:t>
      </w:r>
      <w:r>
        <w:rPr>
          <w:rFonts w:hint="eastAsia" w:ascii="黑体" w:eastAsia="黑体"/>
          <w:kern w:val="0"/>
          <w:sz w:val="30"/>
          <w:fitText w:val="1800" w:id="1"/>
        </w:rPr>
        <w:t>目</w:t>
      </w:r>
      <w:r>
        <w:rPr>
          <w:rFonts w:hint="eastAsia" w:ascii="黑体" w:eastAsia="黑体"/>
          <w:sz w:val="30"/>
        </w:rPr>
        <w:t>：</w:t>
      </w:r>
      <w:r>
        <w:rPr>
          <w:rFonts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lang w:eastAsia="zh-CN"/>
        </w:rPr>
        <w:t>新型电隔离预应力锚固体系</w:t>
      </w:r>
      <w:r>
        <w:rPr>
          <w:rFonts w:hint="eastAsia" w:ascii="黑体" w:eastAsia="黑体"/>
          <w:sz w:val="30"/>
          <w:u w:val="single"/>
        </w:rPr>
        <w:t xml:space="preserve"> </w:t>
      </w:r>
      <w:r>
        <w:rPr>
          <w:rFonts w:ascii="黑体" w:eastAsia="黑体"/>
          <w:sz w:val="30"/>
          <w:u w:val="single"/>
        </w:rPr>
        <w:t xml:space="preserve"> </w:t>
      </w:r>
    </w:p>
    <w:p>
      <w:pPr>
        <w:tabs>
          <w:tab w:val="left" w:pos="1276"/>
        </w:tabs>
        <w:spacing w:after="360" w:afterLines="150"/>
        <w:rPr>
          <w:rFonts w:hint="default" w:ascii="黑体" w:eastAsia="黑体"/>
          <w:sz w:val="30"/>
          <w:lang w:val="en-US" w:eastAsia="zh-CN"/>
        </w:rPr>
      </w:pPr>
      <w:r>
        <w:rPr>
          <w:rFonts w:ascii="黑体" w:eastAsia="黑体"/>
          <w:sz w:val="30"/>
        </w:rPr>
        <w:tab/>
      </w:r>
      <w:r>
        <w:rPr>
          <w:rFonts w:hint="eastAsia" w:ascii="黑体" w:eastAsia="黑体"/>
          <w:sz w:val="30"/>
        </w:rPr>
        <w:t xml:space="preserve">         </w:t>
      </w:r>
      <w:r>
        <w:rPr>
          <w:rFonts w:ascii="黑体" w:eastAsia="黑体"/>
          <w:sz w:val="30"/>
        </w:rPr>
        <w:t xml:space="preserve">    </w:t>
      </w:r>
      <w:r>
        <w:rPr>
          <w:rFonts w:hint="eastAsia" w:ascii="黑体" w:eastAsia="黑体"/>
          <w:sz w:val="30"/>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lang w:eastAsia="zh-CN"/>
        </w:rPr>
        <w:t>性能</w:t>
      </w:r>
      <w:r>
        <w:rPr>
          <w:rFonts w:hint="eastAsia" w:ascii="黑体" w:eastAsia="黑体"/>
          <w:sz w:val="30"/>
          <w:u w:val="single"/>
        </w:rPr>
        <w:t xml:space="preserve">研究    </w:t>
      </w:r>
      <w:r>
        <w:rPr>
          <w:rFonts w:ascii="黑体" w:eastAsia="黑体"/>
          <w:sz w:val="30"/>
          <w:u w:val="single"/>
        </w:rPr>
        <w:t xml:space="preserve">   </w:t>
      </w:r>
      <w:r>
        <w:rPr>
          <w:rFonts w:hint="eastAsia" w:ascii="黑体" w:eastAsia="黑体"/>
          <w:sz w:val="30"/>
          <w:u w:val="single"/>
        </w:rPr>
        <w:t xml:space="preserve">  </w:t>
      </w:r>
      <w:r>
        <w:rPr>
          <w:rFonts w:hint="eastAsia" w:ascii="黑体" w:eastAsia="黑体"/>
          <w:sz w:val="30"/>
          <w:u w:val="single"/>
          <w:lang w:val="en-US" w:eastAsia="zh-CN"/>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z w:val="30"/>
        </w:rPr>
        <w:t>校内指导教师：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李坚  </w:t>
      </w:r>
      <w:r>
        <w:rPr>
          <w:rFonts w:ascii="黑体" w:eastAsia="黑体"/>
          <w:sz w:val="30"/>
          <w:u w:val="single"/>
        </w:rPr>
        <w:t xml:space="preserve"> 教授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z w:val="30"/>
        </w:rPr>
        <w:t>校</w:t>
      </w:r>
      <w:r>
        <w:rPr>
          <w:rFonts w:ascii="黑体" w:eastAsia="黑体"/>
          <w:sz w:val="30"/>
        </w:rPr>
        <w:t>外</w:t>
      </w:r>
      <w:r>
        <w:rPr>
          <w:rFonts w:hint="eastAsia" w:ascii="黑体" w:eastAsia="黑体"/>
          <w:sz w:val="30"/>
        </w:rPr>
        <w:t>指导教师：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邹易清</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2"/>
        </w:rPr>
        <w:t>填表日</w:t>
      </w:r>
      <w:r>
        <w:rPr>
          <w:rFonts w:hint="eastAsia" w:ascii="黑体" w:eastAsia="黑体"/>
          <w:kern w:val="0"/>
          <w:sz w:val="30"/>
          <w:fitText w:val="1800" w:id="2"/>
        </w:rPr>
        <w:t>期</w:t>
      </w:r>
      <w:r>
        <w:rPr>
          <w:rFonts w:hint="eastAsia" w:ascii="黑体" w:eastAsia="黑体"/>
          <w:sz w:val="30"/>
        </w:rPr>
        <w:t>：</w:t>
      </w:r>
      <w:r>
        <w:rPr>
          <w:rFonts w:hint="eastAsia" w:ascii="黑体" w:eastAsia="黑体"/>
          <w:sz w:val="30"/>
          <w:u w:val="single"/>
        </w:rPr>
        <w:t xml:space="preserve">   </w:t>
      </w:r>
      <w:r>
        <w:rPr>
          <w:rFonts w:ascii="黑体" w:eastAsia="黑体"/>
          <w:sz w:val="30"/>
          <w:u w:val="single"/>
        </w:rPr>
        <w:t>2021</w:t>
      </w:r>
      <w:r>
        <w:rPr>
          <w:rFonts w:hint="eastAsia" w:ascii="黑体" w:eastAsia="黑体"/>
          <w:sz w:val="30"/>
          <w:u w:val="single"/>
        </w:rPr>
        <w:t xml:space="preserve">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12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18 </w:t>
      </w:r>
      <w:r>
        <w:rPr>
          <w:rFonts w:hint="eastAsia" w:ascii="黑体" w:eastAsia="黑体"/>
          <w:sz w:val="30"/>
        </w:rPr>
        <w:t>日</w:t>
      </w:r>
    </w:p>
    <w:p>
      <w:pPr>
        <w:tabs>
          <w:tab w:val="left" w:pos="1276"/>
        </w:tabs>
        <w:spacing w:after="360" w:afterLines="150"/>
        <w:jc w:val="center"/>
        <w:rPr>
          <w:rFonts w:ascii="黑体" w:eastAsia="黑体"/>
          <w:sz w:val="30"/>
          <w:u w:val="single"/>
        </w:rPr>
      </w:pPr>
      <w:r>
        <w:rPr>
          <w:rFonts w:hint="eastAsia" w:ascii="楷体" w:eastAsia="楷体"/>
          <w:sz w:val="32"/>
        </w:rPr>
        <w:t>电子科技大学研究生院</w:t>
      </w:r>
    </w:p>
    <w:p>
      <w:pPr>
        <w:spacing w:before="1200" w:beforeLines="500"/>
        <w:ind w:firstLine="3210"/>
        <w:jc w:val="left"/>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numPr>
          <w:ilvl w:val="0"/>
          <w:numId w:val="1"/>
        </w:numPr>
        <w:rPr>
          <w:rFonts w:ascii="黑体" w:hAnsi="黑体" w:eastAsia="黑体"/>
          <w:bCs/>
          <w:sz w:val="28"/>
        </w:rPr>
      </w:pPr>
      <w:r>
        <w:rPr>
          <w:rFonts w:hint="eastAsia" w:ascii="黑体" w:hAnsi="黑体" w:eastAsia="黑体"/>
          <w:bCs/>
          <w:sz w:val="28"/>
        </w:rPr>
        <w:t>学位论文研究内容</w:t>
      </w:r>
    </w:p>
    <w:tbl>
      <w:tblPr>
        <w:tblStyle w:val="7"/>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612"/>
        <w:gridCol w:w="944"/>
        <w:gridCol w:w="8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556" w:type="dxa"/>
            <w:gridSpan w:val="2"/>
            <w:vAlign w:val="center"/>
          </w:tcPr>
          <w:p>
            <w:pPr>
              <w:jc w:val="center"/>
              <w:rPr>
                <w:bCs/>
                <w:sz w:val="24"/>
              </w:rPr>
            </w:pPr>
            <w:r>
              <w:rPr>
                <w:rFonts w:hint="eastAsia"/>
                <w:sz w:val="24"/>
              </w:rPr>
              <w:t>课题类型</w:t>
            </w:r>
          </w:p>
        </w:tc>
        <w:tc>
          <w:tcPr>
            <w:tcW w:w="8072" w:type="dxa"/>
            <w:vAlign w:val="center"/>
          </w:tcPr>
          <w:p>
            <w:pPr>
              <w:rPr>
                <w:bCs/>
                <w:sz w:val="24"/>
              </w:rPr>
            </w:pPr>
            <w:r>
              <w:rPr>
                <w:rFonts w:hint="eastAsia" w:ascii="宋体" w:hAnsi="宋体"/>
                <w:sz w:val="24"/>
              </w:rPr>
              <w:t xml:space="preserve">□应用基础研究 </w:t>
            </w:r>
            <w:r>
              <w:rPr>
                <w:rFonts w:ascii="宋体" w:hAnsi="宋体"/>
                <w:sz w:val="24"/>
              </w:rPr>
              <w:t xml:space="preserve"> </w:t>
            </w:r>
            <w:r>
              <w:rPr>
                <w:rFonts w:hint="eastAsia" w:ascii="宋体" w:hAnsi="宋体"/>
                <w:sz w:val="24"/>
              </w:rPr>
              <w:t xml:space="preserve">  □应用研究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1556" w:type="dxa"/>
            <w:gridSpan w:val="2"/>
            <w:vAlign w:val="center"/>
          </w:tcPr>
          <w:p>
            <w:pPr>
              <w:jc w:val="center"/>
              <w:rPr>
                <w:bCs/>
                <w:sz w:val="24"/>
              </w:rPr>
            </w:pPr>
            <w:r>
              <w:rPr>
                <w:rFonts w:hint="eastAsia"/>
                <w:sz w:val="24"/>
              </w:rPr>
              <w:t>课题来源</w:t>
            </w:r>
          </w:p>
        </w:tc>
        <w:tc>
          <w:tcPr>
            <w:tcW w:w="8072" w:type="dxa"/>
            <w:vAlign w:val="center"/>
          </w:tcPr>
          <w:p>
            <w:pPr>
              <w:rPr>
                <w:bCs/>
                <w:sz w:val="24"/>
              </w:rPr>
            </w:pPr>
            <w:r>
              <w:rPr>
                <w:rFonts w:hint="eastAsia" w:ascii="宋体" w:hAnsi="宋体"/>
                <w:sz w:val="24"/>
              </w:rPr>
              <w:t>□</w:t>
            </w:r>
            <w:r>
              <w:rPr>
                <w:rFonts w:hint="eastAsia"/>
                <w:sz w:val="24"/>
              </w:rPr>
              <w:t xml:space="preserve">纵向 </w:t>
            </w:r>
            <w:r>
              <w:rPr>
                <w:sz w:val="24"/>
              </w:rPr>
              <w:t xml:space="preserve">           </w:t>
            </w:r>
            <w:r>
              <w:rPr>
                <w:rFonts w:hint="eastAsia" w:ascii="宋体" w:hAnsi="宋体"/>
                <w:sz w:val="24"/>
              </w:rPr>
              <w:t>□</w:t>
            </w:r>
            <w:r>
              <w:rPr>
                <w:rFonts w:hint="eastAsia"/>
                <w:sz w:val="24"/>
              </w:rPr>
              <w:t xml:space="preserve">横向 </w:t>
            </w:r>
            <w:r>
              <w:rPr>
                <w:sz w:val="24"/>
              </w:rPr>
              <w:t xml:space="preserve">            </w:t>
            </w:r>
            <w:r>
              <w:rPr>
                <w:rFonts w:hint="eastAsia" w:ascii="宋体" w:hAnsi="宋体"/>
                <w:sz w:val="24"/>
              </w:rPr>
              <w:t>□</w:t>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1841" w:hRule="atLeast"/>
          <w:jc w:val="center"/>
        </w:trPr>
        <w:tc>
          <w:tcPr>
            <w:tcW w:w="612" w:type="dxa"/>
            <w:vAlign w:val="center"/>
          </w:tcPr>
          <w:p>
            <w:pPr>
              <w:jc w:val="center"/>
              <w:rPr>
                <w:sz w:val="24"/>
              </w:rPr>
            </w:pPr>
            <w:r>
              <w:rPr>
                <w:rFonts w:hint="eastAsia"/>
                <w:sz w:val="24"/>
              </w:rPr>
              <w:t>学</w:t>
            </w:r>
          </w:p>
          <w:p>
            <w:pPr>
              <w:jc w:val="center"/>
              <w:rPr>
                <w:sz w:val="24"/>
              </w:rPr>
            </w:pPr>
            <w:r>
              <w:rPr>
                <w:rFonts w:hint="eastAsia"/>
                <w:sz w:val="24"/>
              </w:rPr>
              <w:t>位</w:t>
            </w:r>
          </w:p>
          <w:p>
            <w:pPr>
              <w:jc w:val="center"/>
              <w:rPr>
                <w:sz w:val="24"/>
              </w:rPr>
            </w:pPr>
            <w:r>
              <w:rPr>
                <w:rFonts w:hint="eastAsia"/>
                <w:sz w:val="24"/>
              </w:rPr>
              <w:t>论</w:t>
            </w:r>
          </w:p>
          <w:p>
            <w:pPr>
              <w:jc w:val="center"/>
              <w:rPr>
                <w:sz w:val="24"/>
              </w:rPr>
            </w:pPr>
            <w:r>
              <w:rPr>
                <w:rFonts w:hint="eastAsia"/>
                <w:sz w:val="24"/>
              </w:rPr>
              <w:t>文</w:t>
            </w:r>
          </w:p>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内</w:t>
            </w:r>
          </w:p>
          <w:p>
            <w:pPr>
              <w:jc w:val="center"/>
              <w:rPr>
                <w:b/>
                <w:sz w:val="24"/>
              </w:rPr>
            </w:pPr>
            <w:r>
              <w:rPr>
                <w:rFonts w:hint="eastAsia"/>
                <w:sz w:val="24"/>
              </w:rPr>
              <w:t>容</w:t>
            </w:r>
          </w:p>
        </w:tc>
        <w:tc>
          <w:tcPr>
            <w:tcW w:w="9016" w:type="dxa"/>
            <w:gridSpan w:val="2"/>
          </w:tcPr>
          <w:p>
            <w:pPr>
              <w:spacing w:after="120" w:afterLines="50"/>
              <w:rPr>
                <w:rFonts w:ascii="楷体" w:hAnsi="楷体" w:eastAsia="楷体"/>
                <w:sz w:val="24"/>
              </w:rPr>
            </w:pPr>
            <w:r>
              <w:rPr>
                <w:rFonts w:hint="eastAsia" w:ascii="楷体" w:hAnsi="楷体" w:eastAsia="楷体"/>
                <w:sz w:val="24"/>
              </w:rPr>
              <w:t>学位论文的研究目标、研究内容及拟解决的关键性问题（可续页）</w:t>
            </w:r>
          </w:p>
          <w:p>
            <w:pPr>
              <w:rPr>
                <w:rStyle w:val="9"/>
                <w:sz w:val="24"/>
              </w:rPr>
            </w:pPr>
            <w:r>
              <w:rPr>
                <w:rStyle w:val="9"/>
                <w:rFonts w:hint="eastAsia"/>
                <w:sz w:val="24"/>
              </w:rPr>
              <w:t>1.</w:t>
            </w:r>
            <w:r>
              <w:rPr>
                <w:rStyle w:val="9"/>
                <w:sz w:val="24"/>
              </w:rPr>
              <w:t xml:space="preserve"> 研究目标</w:t>
            </w:r>
          </w:p>
          <w:p>
            <w:pPr>
              <w:rPr>
                <w:rFonts w:hint="eastAsia" w:eastAsia="宋体"/>
                <w:sz w:val="24"/>
                <w:lang w:eastAsia="zh-CN"/>
              </w:rPr>
            </w:pPr>
            <w:r>
              <w:rPr>
                <w:rFonts w:hint="eastAsia"/>
                <w:sz w:val="24"/>
              </w:rPr>
              <w:t xml:space="preserve"> </w:t>
            </w:r>
            <w:r>
              <w:rPr>
                <w:sz w:val="24"/>
              </w:rPr>
              <w:t xml:space="preserve">  </w:t>
            </w:r>
            <w:r>
              <w:rPr>
                <w:rFonts w:hint="eastAsia"/>
                <w:sz w:val="24"/>
              </w:rPr>
              <w:t>预应力混凝土结构极易受到来自周围环境的氯化物、杂散电流、金属溶解电解质、材料的氢脆、微动疲劳、电接触等方面的影响发生腐蚀，如何提升结构内部的防护效果并对健康状况进行监测是目前预应力领域研究的重点。电隔离筋(EIT)预应力防护技术不仅能对结构内部起到良好的密封防护效果还能对预应力管道内部的健康状况进行长期监测，</w:t>
            </w:r>
            <w:r>
              <w:rPr>
                <w:rFonts w:hint="eastAsia"/>
                <w:sz w:val="24"/>
                <w:lang w:eastAsia="zh-CN"/>
              </w:rPr>
              <w:t>但是该技术的研究和应用在国内属于空白，为了提升预应力混凝土结构的耐久性水平并对结构内部质量进行把控，同时为国内电隔离防护技术的后续研究提供参考，本课题开展新型电隔离预应力锚固体系的相关研究，主要的研究目标为：</w:t>
            </w:r>
            <w:r>
              <w:rPr>
                <w:rFonts w:hint="eastAsia"/>
                <w:sz w:val="24"/>
              </w:rPr>
              <w:t>依托柳州OVM公司平台，结合国外现有电隔离锚固体系，设计开发出</w:t>
            </w:r>
            <w:r>
              <w:rPr>
                <w:rFonts w:hint="eastAsia"/>
                <w:sz w:val="24"/>
                <w:lang w:eastAsia="zh-CN"/>
              </w:rPr>
              <w:t>一套</w:t>
            </w:r>
            <w:r>
              <w:rPr>
                <w:rFonts w:hint="eastAsia"/>
                <w:sz w:val="24"/>
              </w:rPr>
              <w:t>新的电隔离预应力锚固体系</w:t>
            </w:r>
            <w:r>
              <w:rPr>
                <w:rFonts w:hint="eastAsia"/>
                <w:sz w:val="24"/>
                <w:lang w:eastAsia="zh-CN"/>
              </w:rPr>
              <w:t>，通过相关性能验证后能够适用于工程应用。</w:t>
            </w:r>
          </w:p>
          <w:p>
            <w:pPr>
              <w:rPr>
                <w:b/>
                <w:sz w:val="24"/>
              </w:rPr>
            </w:pPr>
            <w:r>
              <w:rPr>
                <w:b/>
                <w:sz w:val="24"/>
              </w:rPr>
              <w:t>2</w:t>
            </w:r>
            <w:r>
              <w:rPr>
                <w:rFonts w:hint="eastAsia"/>
                <w:b/>
                <w:sz w:val="24"/>
              </w:rPr>
              <w:t>.</w:t>
            </w:r>
            <w:r>
              <w:rPr>
                <w:b/>
                <w:sz w:val="24"/>
              </w:rPr>
              <w:t xml:space="preserve"> 研究内容</w:t>
            </w:r>
          </w:p>
          <w:p>
            <w:pPr>
              <w:rPr>
                <w:sz w:val="24"/>
              </w:rPr>
            </w:pPr>
            <w:r>
              <w:rPr>
                <w:sz w:val="24"/>
              </w:rPr>
              <w:t>本论文研究内容主要为以下几个部分</w:t>
            </w:r>
            <w:r>
              <w:rPr>
                <w:rFonts w:hint="eastAsia"/>
                <w:sz w:val="24"/>
              </w:rPr>
              <w:t>：</w:t>
            </w:r>
          </w:p>
          <w:p>
            <w:pPr>
              <w:rPr>
                <w:sz w:val="24"/>
              </w:rPr>
            </w:pPr>
          </w:p>
          <w:p>
            <w:pPr>
              <w:rPr>
                <w:rFonts w:hint="eastAsia" w:eastAsia="宋体"/>
                <w:sz w:val="24"/>
                <w:lang w:eastAsia="zh-CN"/>
              </w:rPr>
            </w:pPr>
            <w:r>
              <w:rPr>
                <w:rFonts w:hint="eastAsia"/>
                <w:b/>
                <w:sz w:val="24"/>
              </w:rPr>
              <w:t>[</w:t>
            </w:r>
            <w:r>
              <w:rPr>
                <w:b/>
                <w:sz w:val="24"/>
              </w:rPr>
              <w:t>1]</w:t>
            </w:r>
            <w:r>
              <w:rPr>
                <w:rFonts w:hint="eastAsia"/>
                <w:b/>
                <w:sz w:val="24"/>
              </w:rPr>
              <w:t>.</w:t>
            </w:r>
            <w:r>
              <w:rPr>
                <w:rFonts w:hint="eastAsia"/>
                <w:b/>
                <w:sz w:val="24"/>
                <w:lang w:eastAsia="zh-CN"/>
              </w:rPr>
              <w:t>预应力混凝土结构腐蚀机理和电隔离防护原理分析</w:t>
            </w:r>
          </w:p>
          <w:p>
            <w:pPr>
              <w:ind w:firstLine="480" w:firstLineChars="200"/>
              <w:rPr>
                <w:rFonts w:hint="eastAsia"/>
                <w:sz w:val="24"/>
              </w:rPr>
            </w:pPr>
            <w:r>
              <w:rPr>
                <w:rFonts w:hint="eastAsia"/>
                <w:sz w:val="24"/>
              </w:rPr>
              <w:t>国内外已经有很多关于预应力筋腐蚀原因分析的研究，在对预应力筋进行防护之前需要</w:t>
            </w:r>
            <w:r>
              <w:rPr>
                <w:rFonts w:hint="eastAsia"/>
                <w:sz w:val="24"/>
                <w:lang w:eastAsia="zh-CN"/>
              </w:rPr>
              <w:t>分析</w:t>
            </w:r>
            <w:r>
              <w:rPr>
                <w:rFonts w:hint="eastAsia"/>
                <w:sz w:val="24"/>
              </w:rPr>
              <w:t>其腐蚀原因</w:t>
            </w:r>
            <w:r>
              <w:rPr>
                <w:rFonts w:hint="eastAsia"/>
                <w:sz w:val="24"/>
                <w:lang w:eastAsia="zh-CN"/>
              </w:rPr>
              <w:t>和过程</w:t>
            </w:r>
            <w:r>
              <w:rPr>
                <w:rFonts w:hint="eastAsia"/>
                <w:sz w:val="24"/>
              </w:rPr>
              <w:t>。本论文通过查阅国内外相关文献，得到预应力构件遭受周围环境的氯化物、杂散电流的侵蚀机理；</w:t>
            </w:r>
            <w:r>
              <w:rPr>
                <w:rFonts w:hint="eastAsia"/>
                <w:sz w:val="24"/>
                <w:lang w:eastAsia="zh-CN"/>
              </w:rPr>
              <w:t>提取</w:t>
            </w:r>
            <w:r>
              <w:rPr>
                <w:rFonts w:hint="eastAsia"/>
                <w:sz w:val="24"/>
              </w:rPr>
              <w:t>影响预应力构件腐蚀进展的关键特征参量，为电隔离防护体系的建立提供依据。</w:t>
            </w:r>
          </w:p>
          <w:p>
            <w:pPr>
              <w:ind w:firstLine="480" w:firstLineChars="200"/>
              <w:rPr>
                <w:rFonts w:hint="eastAsia"/>
                <w:sz w:val="24"/>
              </w:rPr>
            </w:pPr>
            <w:r>
              <w:rPr>
                <w:rFonts w:hint="eastAsia"/>
                <w:sz w:val="24"/>
              </w:rPr>
              <w:t>电隔离技术作为解决预应力筋腐蚀防护的有效方案，已经被瑞士和意大利等欧洲国家写入相关技术标准中，同时关于电隔离体系应用的工程案例也被记录，</w:t>
            </w:r>
            <w:r>
              <w:rPr>
                <w:rFonts w:hint="eastAsia"/>
                <w:sz w:val="24"/>
                <w:lang w:eastAsia="zh-CN"/>
              </w:rPr>
              <w:t>但是国内对于电隔离防护技术的研究很少，</w:t>
            </w:r>
            <w:r>
              <w:rPr>
                <w:rFonts w:hint="eastAsia"/>
                <w:sz w:val="24"/>
              </w:rPr>
              <w:t>本论文通过查阅国外电隔离预应力体系相关技术标准和工程案例，对电隔离防护原理进行分析，提炼电隔离体系对预应力筋防护的关键要素；通过对市场上现有的密封防腐产品进行调研，</w:t>
            </w:r>
            <w:r>
              <w:rPr>
                <w:rFonts w:hint="eastAsia"/>
                <w:sz w:val="24"/>
                <w:lang w:eastAsia="zh-CN"/>
              </w:rPr>
              <w:t>结合国外现有电隔离体系，</w:t>
            </w:r>
            <w:r>
              <w:rPr>
                <w:rFonts w:hint="eastAsia"/>
                <w:sz w:val="24"/>
              </w:rPr>
              <w:t>确定适用于电隔离锚固体系的密封绝缘方案；建立电隔离预应力体系等效电路模型，为电隔离监测提供理论依据。</w:t>
            </w:r>
          </w:p>
          <w:p>
            <w:pPr>
              <w:ind w:firstLine="480" w:firstLineChars="200"/>
              <w:rPr>
                <w:rFonts w:hint="eastAsia"/>
                <w:sz w:val="24"/>
              </w:rPr>
            </w:pPr>
          </w:p>
          <w:p>
            <w:pPr>
              <w:rPr>
                <w:rFonts w:hint="eastAsia" w:eastAsia="宋体"/>
                <w:b/>
                <w:sz w:val="24"/>
                <w:lang w:eastAsia="zh-CN"/>
              </w:rPr>
            </w:pPr>
            <w:r>
              <w:rPr>
                <w:rFonts w:hint="eastAsia"/>
                <w:b/>
                <w:sz w:val="24"/>
              </w:rPr>
              <w:t>[</w:t>
            </w:r>
            <w:r>
              <w:rPr>
                <w:b/>
                <w:sz w:val="24"/>
              </w:rPr>
              <w:t>2]</w:t>
            </w:r>
            <w:r>
              <w:rPr>
                <w:rFonts w:hint="eastAsia"/>
                <w:b/>
                <w:sz w:val="24"/>
              </w:rPr>
              <w:t>.</w:t>
            </w:r>
            <w:r>
              <w:rPr>
                <w:rFonts w:hint="eastAsia"/>
                <w:b/>
                <w:sz w:val="24"/>
                <w:lang w:eastAsia="zh-CN"/>
              </w:rPr>
              <w:t>电隔离体系关键组件结构设计和分析</w:t>
            </w:r>
          </w:p>
          <w:p>
            <w:pPr>
              <w:ind w:firstLine="480" w:firstLineChars="200"/>
              <w:rPr>
                <w:rFonts w:hint="eastAsia"/>
                <w:sz w:val="24"/>
              </w:rPr>
            </w:pPr>
            <w:r>
              <w:rPr>
                <w:rFonts w:hint="eastAsia"/>
                <w:sz w:val="24"/>
              </w:rPr>
              <w:t>常规锚固体系下预应力筋得不到很好的腐蚀防护，预应力筋受到管道内部和外部环境的影响导致腐蚀最终预应力失效，并且在施工前后很难对预应力管道内部的情况进行检查，很难及时对公路桥梁的健康状况做出评估。随着fib标准PL3防护级别的提出，更是将其作为预应力锚固体系的工程验收标准，只有满足对预应力筋有良好防护效果以及具备长期健康状况监测系统的预应力锚固体系才能满足要求通过工程验收。显然，常规锚固体系已经不能满足PL3级别的标准，因此需要设计新的预应力锚固体系。电隔离防护技术的出现提供了解决的方案，相较于常规锚固体系，电隔离体系在其基础上增加了新的密封防腐组件和绝缘组件，同时对密封效果起关键作用的锚具连接部分的结构进行改进，形成一套密封性能和绝缘性能良好并且拥有预应力筋健康状况长期监测系统的电隔离锚固体系。</w:t>
            </w:r>
          </w:p>
          <w:p>
            <w:pPr>
              <w:ind w:firstLine="480" w:firstLineChars="200"/>
              <w:rPr>
                <w:rFonts w:hint="eastAsia"/>
                <w:sz w:val="24"/>
              </w:rPr>
            </w:pPr>
            <w:r>
              <w:rPr>
                <w:rFonts w:hint="eastAsia"/>
                <w:sz w:val="24"/>
              </w:rPr>
              <w:t>本论文对电隔离锚固体系的设计主要包括：通过</w:t>
            </w:r>
            <w:r>
              <w:rPr>
                <w:rFonts w:hint="eastAsia"/>
                <w:sz w:val="24"/>
                <w:lang w:val="en-US" w:eastAsia="zh-CN"/>
              </w:rPr>
              <w:t>SolidWorks</w:t>
            </w:r>
            <w:r>
              <w:rPr>
                <w:rFonts w:hint="eastAsia"/>
                <w:sz w:val="24"/>
              </w:rPr>
              <w:t>三维建模软件对电隔离</w:t>
            </w:r>
            <w:r>
              <w:rPr>
                <w:rFonts w:hint="eastAsia"/>
                <w:sz w:val="24"/>
                <w:lang w:eastAsia="zh-CN"/>
              </w:rPr>
              <w:t>体系</w:t>
            </w:r>
            <w:r>
              <w:rPr>
                <w:rFonts w:hint="eastAsia"/>
                <w:sz w:val="24"/>
              </w:rPr>
              <w:t>锚具</w:t>
            </w:r>
            <w:r>
              <w:rPr>
                <w:rFonts w:hint="eastAsia"/>
                <w:sz w:val="24"/>
                <w:lang w:eastAsia="zh-CN"/>
              </w:rPr>
              <w:t>和关键连接组件</w:t>
            </w:r>
            <w:r>
              <w:rPr>
                <w:rFonts w:hint="eastAsia"/>
                <w:sz w:val="24"/>
              </w:rPr>
              <w:t>进行结构设计，并通过</w:t>
            </w:r>
            <w:r>
              <w:rPr>
                <w:rFonts w:hint="eastAsia"/>
                <w:sz w:val="24"/>
                <w:lang w:val="en-US" w:eastAsia="zh-CN"/>
              </w:rPr>
              <w:t>ANSYS</w:t>
            </w:r>
            <w:r>
              <w:rPr>
                <w:rFonts w:hint="eastAsia"/>
                <w:sz w:val="24"/>
              </w:rPr>
              <w:t>有限元分析软件对锚具进行力学仿真分析和计算</w:t>
            </w:r>
            <w:r>
              <w:rPr>
                <w:rFonts w:hint="eastAsia"/>
                <w:sz w:val="24"/>
                <w:lang w:eastAsia="zh-CN"/>
              </w:rPr>
              <w:t>，模拟预应力筋工作状态下锚具的受力情况</w:t>
            </w:r>
            <w:r>
              <w:rPr>
                <w:rFonts w:hint="eastAsia"/>
                <w:sz w:val="24"/>
              </w:rPr>
              <w:t>；</w:t>
            </w:r>
            <w:r>
              <w:rPr>
                <w:rFonts w:hint="eastAsia"/>
                <w:sz w:val="24"/>
                <w:lang w:eastAsia="zh-CN"/>
              </w:rPr>
              <w:t>结合国外现有研究成果，进行</w:t>
            </w:r>
            <w:r>
              <w:rPr>
                <w:rFonts w:hint="eastAsia"/>
                <w:sz w:val="24"/>
              </w:rPr>
              <w:t>密封防腐组件的材料选取和结构设计</w:t>
            </w:r>
            <w:r>
              <w:rPr>
                <w:rFonts w:hint="eastAsia"/>
                <w:sz w:val="24"/>
                <w:lang w:eastAsia="zh-CN"/>
              </w:rPr>
              <w:t>和分析。</w:t>
            </w:r>
          </w:p>
          <w:p>
            <w:pPr>
              <w:ind w:firstLine="480" w:firstLineChars="200"/>
              <w:rPr>
                <w:rFonts w:hint="eastAsia"/>
                <w:sz w:val="24"/>
              </w:rPr>
            </w:pPr>
          </w:p>
          <w:p>
            <w:pPr>
              <w:rPr>
                <w:rFonts w:hint="eastAsia" w:eastAsia="宋体"/>
                <w:sz w:val="24"/>
                <w:lang w:eastAsia="zh-CN"/>
              </w:rPr>
            </w:pPr>
            <w:r>
              <w:rPr>
                <w:rFonts w:hint="eastAsia"/>
                <w:b/>
                <w:sz w:val="24"/>
              </w:rPr>
              <w:t>[</w:t>
            </w:r>
            <w:r>
              <w:rPr>
                <w:b/>
                <w:sz w:val="24"/>
              </w:rPr>
              <w:t>3]</w:t>
            </w:r>
            <w:r>
              <w:rPr>
                <w:rFonts w:hint="eastAsia"/>
                <w:b/>
                <w:sz w:val="24"/>
              </w:rPr>
              <w:t>.</w:t>
            </w:r>
            <w:r>
              <w:rPr>
                <w:b/>
                <w:sz w:val="24"/>
              </w:rPr>
              <w:t xml:space="preserve"> </w:t>
            </w:r>
            <w:r>
              <w:rPr>
                <w:rFonts w:hint="eastAsia"/>
                <w:b/>
                <w:sz w:val="24"/>
                <w:lang w:eastAsia="zh-CN"/>
              </w:rPr>
              <w:t>电隔离预应力锚固体系性能验证</w:t>
            </w:r>
          </w:p>
          <w:p>
            <w:pPr>
              <w:ind w:firstLine="480" w:firstLineChars="200"/>
              <w:rPr>
                <w:rFonts w:hint="eastAsia" w:eastAsia="宋体"/>
                <w:sz w:val="24"/>
                <w:lang w:eastAsia="zh-CN"/>
              </w:rPr>
            </w:pPr>
            <w:r>
              <w:rPr>
                <w:rFonts w:hint="eastAsia"/>
                <w:sz w:val="24"/>
              </w:rPr>
              <w:t>研究电隔离预应力</w:t>
            </w:r>
            <w:r>
              <w:rPr>
                <w:rFonts w:hint="eastAsia"/>
                <w:sz w:val="24"/>
                <w:lang w:eastAsia="zh-CN"/>
              </w:rPr>
              <w:t>锚固体系</w:t>
            </w:r>
            <w:r>
              <w:rPr>
                <w:rFonts w:hint="eastAsia"/>
                <w:sz w:val="24"/>
              </w:rPr>
              <w:t>的电隔离性能，主要通过电反馈的方式</w:t>
            </w:r>
            <w:r>
              <w:rPr>
                <w:rFonts w:hint="eastAsia"/>
                <w:sz w:val="24"/>
                <w:lang w:eastAsia="zh-CN"/>
              </w:rPr>
              <w:t>测量结构内部的阻抗值</w:t>
            </w:r>
            <w:r>
              <w:rPr>
                <w:rFonts w:hint="eastAsia"/>
                <w:sz w:val="24"/>
              </w:rPr>
              <w:t>验证工作状态下预应力筋是否受到周围环境的影响。从理论分析和实验方面验证预应力孔道的几何特征（如长度、直径）、不同载荷、激励信号的频率、内外温湿度变化，非金属制品的握裹性能等对监测值的影响；</w:t>
            </w:r>
            <w:r>
              <w:rPr>
                <w:rFonts w:hint="eastAsia"/>
                <w:sz w:val="24"/>
                <w:lang w:eastAsia="zh-CN"/>
              </w:rPr>
              <w:t>通过</w:t>
            </w:r>
            <w:r>
              <w:rPr>
                <w:rFonts w:hint="eastAsia"/>
                <w:sz w:val="24"/>
              </w:rPr>
              <w:t>实验与理论研究相结合，</w:t>
            </w:r>
            <w:r>
              <w:rPr>
                <w:rFonts w:hint="eastAsia"/>
                <w:sz w:val="24"/>
                <w:lang w:eastAsia="zh-CN"/>
              </w:rPr>
              <w:t>建立各影响因素和预应管道内部健康状况之间的数学模型。</w:t>
            </w:r>
          </w:p>
          <w:p>
            <w:pPr>
              <w:ind w:firstLine="480" w:firstLineChars="200"/>
              <w:rPr>
                <w:rFonts w:hint="eastAsia"/>
                <w:sz w:val="24"/>
              </w:rPr>
            </w:pPr>
          </w:p>
          <w:p>
            <w:pPr>
              <w:rPr>
                <w:b/>
                <w:sz w:val="24"/>
              </w:rPr>
            </w:pPr>
            <w:r>
              <w:rPr>
                <w:rFonts w:hint="eastAsia"/>
                <w:b/>
                <w:sz w:val="24"/>
              </w:rPr>
              <w:t>3.</w:t>
            </w:r>
            <w:r>
              <w:rPr>
                <w:b/>
                <w:sz w:val="24"/>
              </w:rPr>
              <w:t xml:space="preserve"> 拟解决的关键性问题</w:t>
            </w:r>
          </w:p>
          <w:p>
            <w:pPr>
              <w:rPr>
                <w:rFonts w:hint="eastAsia" w:eastAsia="宋体"/>
                <w:b/>
                <w:sz w:val="24"/>
                <w:lang w:eastAsia="zh-CN"/>
              </w:rPr>
            </w:pPr>
            <w:r>
              <w:rPr>
                <w:rFonts w:hint="eastAsia"/>
                <w:b/>
                <w:sz w:val="24"/>
              </w:rPr>
              <w:t>[</w:t>
            </w:r>
            <w:r>
              <w:rPr>
                <w:b/>
                <w:sz w:val="24"/>
              </w:rPr>
              <w:t>1].</w:t>
            </w:r>
            <w:r>
              <w:rPr>
                <w:rFonts w:hint="eastAsia"/>
                <w:b/>
                <w:sz w:val="24"/>
                <w:lang w:eastAsia="zh-CN"/>
              </w:rPr>
              <w:t>隔离垫的设计问题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rFonts w:hint="eastAsia"/>
                <w:sz w:val="24"/>
                <w:lang w:eastAsia="zh-CN"/>
              </w:rPr>
              <w:t>隔离</w:t>
            </w:r>
            <w:r>
              <w:rPr>
                <w:rFonts w:hint="eastAsia"/>
                <w:sz w:val="24"/>
              </w:rPr>
              <w:t>垫一方面需要承载传递力，另一方面需要具有一定的电绝缘性能，因此，必须对绝缘耐压材料进行压-电实验，将不同材料间的压力与电反馈相互变化关系联系起来，本研究的关键在于建立压-电模型。首先，考虑材料稳定性，抗压性，绝缘性能等方面，有针对性的筛选材料进行压-电实验；其次对筛选后绝缘材料进行研究，分析材料、厚度、测试频率与施加载荷的电反馈值分布情况，并选取符合要求的材料进行分析，并建立压-电模型。</w:t>
            </w:r>
          </w:p>
          <w:p>
            <w:pPr>
              <w:rPr>
                <w:rFonts w:hint="eastAsia" w:eastAsia="宋体"/>
                <w:b/>
                <w:sz w:val="24"/>
                <w:lang w:eastAsia="zh-CN"/>
              </w:rPr>
            </w:pPr>
            <w:r>
              <w:rPr>
                <w:rFonts w:hint="eastAsia"/>
                <w:b/>
                <w:sz w:val="24"/>
              </w:rPr>
              <w:t>[</w:t>
            </w:r>
            <w:r>
              <w:rPr>
                <w:b/>
                <w:sz w:val="24"/>
              </w:rPr>
              <w:t>2].</w:t>
            </w:r>
            <w:r>
              <w:rPr>
                <w:rFonts w:hint="eastAsia"/>
                <w:b/>
                <w:sz w:val="24"/>
                <w:lang w:eastAsia="zh-CN"/>
              </w:rPr>
              <w:t>锚具和连接组件之间的密封问题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sz w:val="24"/>
                <w:lang w:val="en-US" w:eastAsia="zh-CN"/>
              </w:rPr>
            </w:pPr>
            <w:r>
              <w:rPr>
                <w:rFonts w:hint="eastAsia"/>
                <w:sz w:val="24"/>
                <w:lang w:eastAsia="zh-CN"/>
              </w:rPr>
              <w:t>良好的密封性能决定了电隔离体系的防护是否有效，在新型电隔离体系中，锚具和组件之间的连接和装配方式都会影响到最终的密封防护效果，在满足结构强度和电隔离性能的前提下，如何为结构选择合适的材料并进行结构设计是实现电隔离的基础。</w:t>
            </w:r>
          </w:p>
          <w:p>
            <w:pPr>
              <w:rPr>
                <w:rFonts w:hint="eastAsia" w:eastAsia="宋体"/>
                <w:b/>
                <w:sz w:val="24"/>
                <w:lang w:eastAsia="zh-CN"/>
              </w:rPr>
            </w:pPr>
            <w:r>
              <w:rPr>
                <w:rFonts w:hint="eastAsia"/>
                <w:b/>
                <w:sz w:val="24"/>
              </w:rPr>
              <w:t>[</w:t>
            </w:r>
            <w:r>
              <w:rPr>
                <w:b/>
                <w:sz w:val="24"/>
              </w:rPr>
              <w:t>3].</w:t>
            </w:r>
            <w:r>
              <w:rPr>
                <w:rFonts w:hint="eastAsia"/>
                <w:b/>
                <w:sz w:val="24"/>
                <w:lang w:eastAsia="zh-CN"/>
              </w:rPr>
              <w:t>环境因素对电隔离监测影响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sz w:val="24"/>
                <w:lang w:val="en-US" w:eastAsia="zh-CN"/>
              </w:rPr>
            </w:pPr>
            <w:r>
              <w:rPr>
                <w:rFonts w:hint="eastAsia"/>
                <w:sz w:val="24"/>
                <w:lang w:eastAsia="zh-CN"/>
              </w:rPr>
              <w:t>由于电隔离</w:t>
            </w:r>
            <w:r>
              <w:rPr>
                <w:sz w:val="24"/>
              </w:rPr>
              <w:t>测量</w:t>
            </w:r>
            <w:r>
              <w:rPr>
                <w:rFonts w:hint="eastAsia"/>
                <w:sz w:val="24"/>
                <w:lang w:eastAsia="zh-CN"/>
              </w:rPr>
              <w:t>的</w:t>
            </w:r>
            <w:r>
              <w:rPr>
                <w:sz w:val="24"/>
              </w:rPr>
              <w:t>阻抗值</w:t>
            </w:r>
            <w:r>
              <w:rPr>
                <w:rFonts w:hint="eastAsia"/>
                <w:sz w:val="24"/>
                <w:lang w:eastAsia="zh-CN"/>
              </w:rPr>
              <w:t>对环境</w:t>
            </w:r>
            <w:r>
              <w:rPr>
                <w:sz w:val="24"/>
              </w:rPr>
              <w:t>温度和湿度都十分敏感，</w:t>
            </w:r>
            <w:r>
              <w:rPr>
                <w:rFonts w:hint="eastAsia"/>
                <w:sz w:val="24"/>
                <w:lang w:eastAsia="zh-CN"/>
              </w:rPr>
              <w:t>因此测量值可能受到不同环境条件的影响，如何修正测量值与预应力筋健康状况之间的数学关系模型，提高模型的精度也是研究的难点。</w:t>
            </w:r>
          </w:p>
        </w:tc>
      </w:tr>
    </w:tbl>
    <w:p>
      <w:pPr>
        <w:numPr>
          <w:ilvl w:val="0"/>
          <w:numId w:val="1"/>
        </w:numPr>
        <w:rPr>
          <w:b/>
          <w:bCs/>
          <w:sz w:val="36"/>
        </w:rPr>
      </w:pPr>
      <w:r>
        <w:br w:type="page"/>
      </w:r>
      <w:r>
        <w:rPr>
          <w:rFonts w:hint="eastAsia" w:ascii="黑体" w:hAnsi="黑体" w:eastAsia="黑体"/>
          <w:bCs/>
          <w:sz w:val="28"/>
        </w:rPr>
        <w:t>学位论文研究依据</w:t>
      </w:r>
    </w:p>
    <w:tbl>
      <w:tblPr>
        <w:tblStyle w:val="7"/>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13946" w:hRule="atLeast"/>
          <w:jc w:val="center"/>
        </w:trPr>
        <w:tc>
          <w:tcPr>
            <w:tcW w:w="9628" w:type="dxa"/>
          </w:tcPr>
          <w:p>
            <w:pPr>
              <w:spacing w:after="120" w:afterLines="50"/>
              <w:rPr>
                <w:rFonts w:ascii="楷体" w:hAnsi="楷体" w:eastAsia="楷体"/>
                <w:sz w:val="24"/>
              </w:rPr>
            </w:pPr>
            <w:r>
              <w:rPr>
                <w:rFonts w:hint="eastAsia" w:ascii="楷体" w:hAnsi="楷体" w:eastAsia="楷体"/>
                <w:sz w:val="24"/>
              </w:rPr>
              <w:t>学位论文的选题依据和研究意义，国内外研究现状和发展态势；选题在理论研究或实际应用方面的意义和价值；主要参考文献，以及已有的工作积累和研究成果。（2</w:t>
            </w:r>
            <w:r>
              <w:rPr>
                <w:rFonts w:ascii="楷体" w:hAnsi="楷体" w:eastAsia="楷体"/>
                <w:sz w:val="24"/>
              </w:rPr>
              <w:t>000</w:t>
            </w:r>
            <w:r>
              <w:rPr>
                <w:rFonts w:hint="eastAsia" w:ascii="楷体" w:hAnsi="楷体" w:eastAsia="楷体"/>
                <w:sz w:val="24"/>
              </w:rPr>
              <w:t>字）</w:t>
            </w:r>
          </w:p>
          <w:p>
            <w:pPr>
              <w:rPr>
                <w:b/>
                <w:sz w:val="24"/>
              </w:rPr>
            </w:pPr>
            <w:r>
              <w:rPr>
                <w:rFonts w:hint="eastAsia"/>
                <w:b/>
                <w:sz w:val="24"/>
              </w:rPr>
              <w:t>1.</w:t>
            </w:r>
            <w:r>
              <w:rPr>
                <w:b/>
                <w:sz w:val="24"/>
              </w:rPr>
              <w:t xml:space="preserve"> </w:t>
            </w:r>
            <w:r>
              <w:rPr>
                <w:rFonts w:hint="eastAsia"/>
                <w:b/>
                <w:sz w:val="24"/>
              </w:rPr>
              <w:t>选题依据和研究意义</w:t>
            </w:r>
          </w:p>
          <w:p>
            <w:pPr>
              <w:ind w:firstLine="480" w:firstLineChars="200"/>
              <w:rPr>
                <w:sz w:val="24"/>
              </w:rPr>
            </w:pPr>
            <w:r>
              <w:rPr>
                <w:rFonts w:hint="eastAsia"/>
                <w:sz w:val="24"/>
              </w:rPr>
              <w:t>预应力混凝土结构作为桥梁、铁路、核安全壳、LNG储罐等大型基础设施的主要受力部件，由于其采用较高强度等级的混凝土以及预应力筋拥有多道保护层体系，因此曾被认为具有优良的耐久性能，然而现实情况并非如此乐观，构成预应力混凝土结构中的锚具和预应力筋均为金属件，极易受到来自周围环境的氯化物、杂散电流、金属溶解电解质、材料的氢脆、微动疲劳、电接触等方面的影响</w:t>
            </w:r>
            <w:r>
              <w:rPr>
                <w:sz w:val="24"/>
              </w:rPr>
              <w:fldChar w:fldCharType="begin"/>
            </w:r>
            <w:r>
              <w:rPr>
                <w:sz w:val="24"/>
              </w:rPr>
              <w:instrText xml:space="preserve"> ADDIN EN.CITE &lt;EndNote&gt;&lt;Cite&gt;&lt;Author&gt;Taerwe&lt;/Author&gt;&lt;Year&gt;2013&lt;/Year&gt;&lt;RecNum&gt;303&lt;/RecNum&gt;&lt;DisplayText&gt;&lt;style face="superscript"&gt;[1]&lt;/style&gt;&lt;/DisplayText&gt;&lt;record&gt;&lt;rec-number&gt;303&lt;/rec-number&gt;&lt;foreign-keys&gt;&lt;key app="EN" db-id="xdfe0wef8dwvxkezwxnparp1p5a0wtfwexte" timestamp="1639878910"&gt;303&lt;/key&gt;&lt;/foreign-keys&gt;&lt;ref-type name="Generic"&gt;13&lt;/ref-type&gt;&lt;contributors&gt;&lt;authors&gt;&lt;author&gt;Taerwe, Luc&lt;/author&gt;&lt;author&gt;Matthys, Stijn&lt;/author&gt;&lt;/authors&gt;&lt;/contributors&gt;&lt;titles&gt;&lt;title&gt;Fib model code for concrete structures 2010&lt;/title&gt;&lt;/titles&gt;&lt;dates&gt;&lt;year&gt;2013&lt;/year&gt;&lt;/dates&gt;&lt;publisher&gt;Ernst &amp;amp; Sohn, Wiley&lt;/publisher&gt;&lt;isbn&gt;3433604096&lt;/isbn&gt;&lt;urls&gt;&lt;/urls&gt;&lt;/record&gt;&lt;/Cite&gt;&lt;/EndNote&gt;</w:instrText>
            </w:r>
            <w:r>
              <w:rPr>
                <w:sz w:val="24"/>
              </w:rPr>
              <w:fldChar w:fldCharType="separate"/>
            </w:r>
            <w:r>
              <w:rPr>
                <w:sz w:val="24"/>
                <w:vertAlign w:val="superscript"/>
              </w:rPr>
              <w:t>[1]</w:t>
            </w:r>
            <w:r>
              <w:rPr>
                <w:sz w:val="24"/>
              </w:rPr>
              <w:fldChar w:fldCharType="end"/>
            </w:r>
            <w:r>
              <w:rPr>
                <w:rFonts w:hint="eastAsia"/>
                <w:sz w:val="24"/>
              </w:rPr>
              <w:t>，良好的保护层体系对预应力筋的腐蚀只能起到延缓作用而并不能起到阻止作用，腐蚀介质穿过保护层体系（包括腐蚀透金属波纹管）只是一个时间问题</w:t>
            </w:r>
            <w:r>
              <w:rPr>
                <w:sz w:val="24"/>
              </w:rPr>
              <w:fldChar w:fldCharType="begin"/>
            </w:r>
            <w:r>
              <w:rPr>
                <w:sz w:val="24"/>
              </w:rPr>
              <w:instrText xml:space="preserve"> ADDIN EN.CITE &lt;EndNote&gt;&lt;Cite&gt;&lt;Author&gt;Salas&lt;/Author&gt;&lt;Year&gt;2008&lt;/Year&gt;&lt;RecNum&gt;318&lt;/RecNum&gt;&lt;DisplayText&gt;&lt;style face="superscript"&gt;[2]&lt;/style&gt;&lt;/DisplayText&gt;&lt;record&gt;&lt;rec-number&gt;318&lt;/rec-number&gt;&lt;foreign-keys&gt;&lt;key app="EN" db-id="xdfe0wef8dwvxkezwxnparp1p5a0wtfwexte" timestamp="1639897342"&gt;318&lt;/key&gt;&lt;/foreign-keys&gt;&lt;ref-type name="Journal Article"&gt;17&lt;/ref-type&gt;&lt;contributors&gt;&lt;authors&gt;&lt;author&gt;Salas, Rubén M&lt;/author&gt;&lt;author&gt;Schokker, Andrea J&lt;/author&gt;&lt;author&gt;West, Jeff S&lt;/author&gt;&lt;author&gt;Breen, John E&lt;/author&gt;&lt;author&gt;Kreger, Michael E&lt;/author&gt;&lt;/authors&gt;&lt;/contributors&gt;&lt;titles&gt;&lt;title&gt;Corrosion risk of bonded, post-tensioned concrete elements&lt;/title&gt;&lt;secondary-title&gt;PCI journal&lt;/secondary-title&gt;&lt;/titles&gt;&lt;periodical&gt;&lt;full-title&gt;Pci Journal&lt;/full-title&gt;&lt;/periodical&gt;&lt;pages&gt;89&lt;/pages&gt;&lt;volume&gt;53&lt;/volume&gt;&lt;number&gt;1&lt;/number&gt;&lt;dates&gt;&lt;year&gt;2008&lt;/year&gt;&lt;/dates&gt;&lt;isbn&gt;0887-9672&lt;/isbn&gt;&lt;urls&gt;&lt;/urls&gt;&lt;/record&gt;&lt;/Cite&gt;&lt;/EndNote&gt;</w:instrText>
            </w:r>
            <w:r>
              <w:rPr>
                <w:sz w:val="24"/>
              </w:rPr>
              <w:fldChar w:fldCharType="separate"/>
            </w:r>
            <w:r>
              <w:rPr>
                <w:sz w:val="24"/>
                <w:vertAlign w:val="superscript"/>
              </w:rPr>
              <w:t>[2]</w:t>
            </w:r>
            <w:r>
              <w:rPr>
                <w:sz w:val="24"/>
              </w:rPr>
              <w:fldChar w:fldCharType="end"/>
            </w:r>
            <w:r>
              <w:rPr>
                <w:rFonts w:hint="eastAsia"/>
                <w:sz w:val="24"/>
              </w:rPr>
              <w:t>。而这种延缓作用并不能完成许多预应力工程承载的“百年大计”之使命；更为甚者，后张预应力混凝土结构还存在着灌浆质量无法保证（包括先进的真空辅助灌浆工艺）这一关键问题，这使得即使在塑料波纹管体系中也有可能会发生预应力筋的腐蚀问题</w:t>
            </w:r>
            <w:r>
              <w:rPr>
                <w:sz w:val="24"/>
              </w:rPr>
              <w:fldChar w:fldCharType="begin"/>
            </w:r>
            <w:r>
              <w:rPr>
                <w:rFonts w:hint="eastAsia"/>
                <w:sz w:val="24"/>
              </w:rPr>
              <w:instrText xml:space="preserve"> ADDIN EN.CITE &lt;EndNote&gt;&lt;Cite&gt;&lt;Author&gt;李富民&lt;/Author&gt;&lt;Year&gt;2015&lt;/Year&gt;&lt;RecNum&gt;319&lt;/RecNum&gt;&lt;DisplayText&gt;&lt;style face="superscript"&gt;[3]&lt;/style&gt;&lt;/DisplayText&gt;&lt;record&gt;&lt;rec-number&gt;319&lt;/rec-number&gt;&lt;foreign-keys&gt;&lt;key app="EN" db-id="xdfe0wef8dwvxkezwxnparp1p5a0wtfwexte" timestamp="1639897608"&gt;319&lt;/key&gt;&lt;/foreign-keys&gt;&lt;ref-type name="Journal Article"&gt;17&lt;/ref-type&gt;&lt;contributors&gt;&lt;authors&gt;&lt;author&gt;李富民&lt;/author&gt;&lt;author&gt;邓天慈&lt;/author&gt;&lt;author&gt;王江浩&lt;/author&gt;&lt;author&gt;罗小雅&lt;/author&gt;&lt;/authors&gt;&lt;/contributors&gt;&lt;auth-address&gt;中国矿业大学江苏省土木工程环境灾变与结构可靠性重点实验室;&lt;/auth-address&gt;&lt;titles&gt;&lt;title&gt;预应力混凝土结构耐久性研究综述&lt;/title&gt;&lt;secondary-title&gt;建筑科学与工程学报&lt;/secondary-title&gt;&lt;/titles&gt;&lt;periodical&gt;&lt;full-title&gt;建筑科学与工程学报&lt;/full-title&gt;&lt;/periodical&gt;&lt;pages&gt;1-20&lt;/pages&gt;&lt;volume&gt;v.32;No.113&lt;/volume&gt;&lt;number&gt;02&lt;/number&gt;&lt;keywords&gt;&lt;keyword&gt;预应力混凝土结构&lt;/keyword&gt;&lt;keyword&gt;耐久性&lt;/keyword&gt;&lt;keyword&gt;综述&lt;/keyword&gt;&lt;keyword&gt;研究体系&lt;/keyword&gt;&lt;keyword&gt;腐蚀&lt;/keyword&gt;&lt;keyword&gt;损伤演化&lt;/keyword&gt;&lt;/keywords&gt;&lt;dates&gt;&lt;year&gt;2015&lt;/year&gt;&lt;/dates&gt;&lt;isbn&gt;1673-2049&lt;/isbn&gt;&lt;call-num&gt;61-1442/TU&lt;/call-num&gt;&lt;urls&gt;&lt;/urls&gt;&lt;remote-d</w:instrText>
            </w:r>
            <w:r>
              <w:rPr>
                <w:sz w:val="24"/>
              </w:rPr>
              <w:instrText xml:space="preserve">atabase-provider&gt;Cnki&lt;/remote-database-provider&gt;&lt;/record&gt;&lt;/Cite&gt;&lt;/EndNote&gt;</w:instrText>
            </w:r>
            <w:r>
              <w:rPr>
                <w:sz w:val="24"/>
              </w:rPr>
              <w:fldChar w:fldCharType="separate"/>
            </w:r>
            <w:r>
              <w:rPr>
                <w:sz w:val="24"/>
                <w:vertAlign w:val="superscript"/>
              </w:rPr>
              <w:t>[3]</w:t>
            </w:r>
            <w:r>
              <w:rPr>
                <w:sz w:val="24"/>
              </w:rPr>
              <w:fldChar w:fldCharType="end"/>
            </w:r>
            <w:r>
              <w:rPr>
                <w:rFonts w:hint="eastAsia"/>
                <w:sz w:val="24"/>
              </w:rPr>
              <w:t>。</w:t>
            </w:r>
          </w:p>
          <w:p>
            <w:pPr>
              <w:ind w:firstLine="480" w:firstLineChars="200"/>
              <w:rPr>
                <w:sz w:val="24"/>
              </w:rPr>
            </w:pPr>
            <w:r>
              <w:rPr>
                <w:rFonts w:hint="eastAsia"/>
                <w:sz w:val="24"/>
              </w:rPr>
              <w:t>随着人类活动空间不断拓展，需要在恶劣环境中服役的工程结构日益增多。各国已建、在建和将建的跨海大桥、海底隧道、海港码头以及沿海地区、除冰盐地区兴建的高速铁路、高速公路、桥梁、工业建筑等重大工程都广泛采用预应力混凝土结构，这些工程具有大（大跨、大型）、高（高层、高耸）、特（特种）这几个特点，而且投资大，使用要求高，社会影响广泛，因而结构需要具有更高的耐腐蚀性能和防护水平，如杭州跨海湾大桥和胶州跨海大桥的设计使用寿命均为100年，而港珠澳大桥的设计使用寿命更是高达120年，这使得预应力混凝土结构的耐久性面临巨大挑战</w:t>
            </w:r>
            <w:r>
              <w:rPr>
                <w:sz w:val="24"/>
              </w:rPr>
              <w:fldChar w:fldCharType="begin">
                <w:fldData xml:space="preserve">PEVuZE5vdGU+PENpdGU+PEF1dGhvcj7ljavlhps8L0F1dGhvcj48WWVhcj4yMDEyPC9ZZWFyPjxS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==
</w:fldData>
              </w:fldChar>
            </w:r>
            <w:r>
              <w:rPr>
                <w:sz w:val="24"/>
              </w:rPr>
              <w:instrText xml:space="preserve"> ADDIN EN.CITE </w:instrText>
            </w:r>
            <w:r>
              <w:rPr>
                <w:sz w:val="24"/>
              </w:rPr>
              <w:fldChar w:fldCharType="begin">
                <w:fldData xml:space="preserve">PEVuZE5vdGU+PENpdGU+PEF1dGhvcj7ljavlhps8L0F1dGhvcj48WWVhcj4yMDEyPC9ZZWFyPjxS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==
</w:fldData>
              </w:fldChar>
            </w:r>
            <w:r>
              <w:rPr>
                <w:sz w:val="24"/>
              </w:rPr>
              <w:instrText xml:space="preserve"> ADDIN EN.CITE.DATA </w:instrText>
            </w:r>
            <w:r>
              <w:rPr>
                <w:sz w:val="24"/>
              </w:rPr>
              <w:fldChar w:fldCharType="end"/>
            </w:r>
            <w:r>
              <w:rPr>
                <w:sz w:val="24"/>
              </w:rPr>
              <w:fldChar w:fldCharType="separate"/>
            </w:r>
            <w:r>
              <w:rPr>
                <w:sz w:val="24"/>
                <w:vertAlign w:val="superscript"/>
              </w:rPr>
              <w:t>[3-5]</w:t>
            </w:r>
            <w:r>
              <w:rPr>
                <w:sz w:val="24"/>
              </w:rPr>
              <w:fldChar w:fldCharType="end"/>
            </w:r>
            <w:r>
              <w:rPr>
                <w:rFonts w:hint="eastAsia"/>
                <w:sz w:val="24"/>
              </w:rPr>
              <w:t>。</w:t>
            </w:r>
          </w:p>
          <w:p>
            <w:pPr>
              <w:ind w:firstLine="480" w:firstLineChars="200"/>
              <w:rPr>
                <w:rFonts w:hint="eastAsia"/>
                <w:sz w:val="24"/>
              </w:rPr>
            </w:pPr>
            <w:r>
              <w:rPr>
                <w:rFonts w:hint="eastAsia"/>
                <w:sz w:val="24"/>
              </w:rPr>
              <w:t>预应力混凝土结构腐蚀检测手段大部分能在实验室环境下进行，但是实地应用效果却不好，而且腐蚀检测虽然能对及时发现结构内部的情况，但是这些方法都不适用于长期的监测，很难做到对结构的耐久性的长期监测和质量把控。需要注意的是，腐蚀防护和检测同样重要，但是目前的腐蚀防护方案都是防护和检测相互独立的，考虑了防腐就不考虑检测腐蚀，很难在拥有良好防护效果的同时兼顾对健康状况长期监测的功能。</w:t>
            </w:r>
          </w:p>
          <w:p>
            <w:pPr>
              <w:ind w:firstLine="480" w:firstLineChars="200"/>
              <w:jc w:val="left"/>
              <w:rPr>
                <w:rFonts w:hint="eastAsia"/>
              </w:rPr>
            </w:pPr>
            <w:r>
              <w:rPr>
                <w:rFonts w:hint="eastAsia"/>
                <w:sz w:val="24"/>
              </w:rPr>
              <w:t>为了防止杂散电流以及侵蚀介质对预应力筋的腐蚀，并对内部结构的腐蚀和灌浆情况进行监测，一种“电隔离力筋（Electrically Isolation Tendons，EIT）”应运而生，其防腐基本思路是：采用塑料波纹管成孔以保证力筋长度范围内的绝缘与密封，然后在力筋两端锚头部位进行专门的绝缘与密封处理，并使整个预应力筋与锚头体系的绝缘与密封保持连续，该锚固体系兼顾预应力管道内部灌浆情况和预应力筋健康状况在线监测系统，2004年苏黎世COST534会议对这种技术的背景、原理、技术方案以及工程应用进行了报道</w:t>
            </w:r>
            <w:r>
              <w:fldChar w:fldCharType="begin">
                <w:fldData xml:space="preserve">PEVuZE5vdGU+PENpdGU+PEF1dGhvcj5FbHNlbmVyPC9BdXRob3I+PFllYXI+MjAwNDwvWWVhcj48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</w:fldData>
              </w:fldChar>
            </w:r>
            <w:r>
              <w:instrText xml:space="preserve"> ADDIN EN.CITE </w:instrText>
            </w:r>
            <w:r>
              <w:fldChar w:fldCharType="begin">
                <w:fldData xml:space="preserve">PEVuZE5vdGU+PENpdGU+PEF1dGhvcj5FbHNlbmVyPC9BdXRob3I+PFllYXI+MjAwNDwvWWVhcj48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</w:fldData>
              </w:fldChar>
            </w:r>
            <w:r>
              <w:instrText xml:space="preserve"> ADDIN EN.CITE.DATA </w:instrText>
            </w:r>
            <w:r>
              <w:fldChar w:fldCharType="end"/>
            </w:r>
            <w:r>
              <w:fldChar w:fldCharType="separate"/>
            </w:r>
            <w:r>
              <w:rPr>
                <w:vertAlign w:val="superscript"/>
              </w:rPr>
              <w:t>[6-8]</w:t>
            </w:r>
            <w:r>
              <w:fldChar w:fldCharType="end"/>
            </w:r>
            <w:r>
              <w:rPr>
                <w:rFonts w:hint="eastAsia"/>
              </w:rPr>
              <w:t>。</w:t>
            </w:r>
          </w:p>
          <w:p>
            <w:pPr>
              <w:ind w:firstLine="480" w:firstLineChars="200"/>
              <w:rPr>
                <w:sz w:val="24"/>
              </w:rPr>
            </w:pPr>
            <w:r>
              <w:rPr>
                <w:rFonts w:hint="eastAsia"/>
                <w:sz w:val="24"/>
              </w:rPr>
              <w:t>综上所述，预应力混凝土结构由于腐蚀引起的耐久性问题不仅是存在的，而且是严峻的；常规的锚固体系和防护检测手段不能满足实际应用要求，因此，开展电隔离预应力锚固技术的研究，提升结构抗腐蚀性能并对其健康状况进行长期监测，对确保重大土木工程结构全寿命使用安全，推动混凝土结构理论与技术应用，实现经济社会绿色、可持续发展具有重要意义。</w:t>
            </w:r>
          </w:p>
          <w:p>
            <w:pPr>
              <w:rPr>
                <w:b/>
                <w:sz w:val="24"/>
              </w:rPr>
            </w:pPr>
            <w:r>
              <w:rPr>
                <w:b/>
                <w:sz w:val="24"/>
              </w:rPr>
              <w:t>2. 国内外研究现状和发展态势</w:t>
            </w:r>
          </w:p>
          <w:p>
            <w:pPr>
              <w:spacing w:before="240" w:after="240"/>
              <w:jc w:val="left"/>
              <w:rPr>
                <w:rFonts w:hint="eastAsia"/>
                <w:b/>
                <w:sz w:val="24"/>
              </w:rPr>
            </w:pPr>
            <w:r>
              <w:rPr>
                <w:rFonts w:hint="eastAsia"/>
                <w:b/>
                <w:sz w:val="24"/>
              </w:rPr>
              <w:t>4.1、国内电隔离防护技术研究现状</w:t>
            </w:r>
          </w:p>
          <w:p>
            <w:pPr>
              <w:ind w:firstLine="480" w:firstLineChars="200"/>
              <w:jc w:val="left"/>
              <w:rPr>
                <w:rFonts w:hint="eastAsia"/>
                <w:sz w:val="24"/>
              </w:rPr>
            </w:pPr>
            <w:r>
              <w:rPr>
                <w:rFonts w:hint="eastAsia"/>
                <w:sz w:val="24"/>
              </w:rPr>
              <w:t>从电隔离防腐结构上讲，国内电隔离型锚具结构主要有两种形式，一种为复合型锚垫板+塑料波纹管。朱万旭、周红梅</w:t>
            </w:r>
            <w:r>
              <w:fldChar w:fldCharType="begin"/>
            </w:r>
            <w:r>
              <w:rPr>
                <w:rFonts w:hint="eastAsia"/>
              </w:rPr>
              <w:instrText xml:space="preserve"> ADDIN EN.CITE &lt;EndNote&gt;&lt;Cite&gt;&lt;Author&gt;朱星&lt;/Author&gt;&lt;Year&gt;2011&lt;/Year&gt;&lt;RecNum&gt;310&lt;/RecNum&gt;&lt;DisplayText&gt;&lt;style face="superscript"&gt;[9-11]&lt;/style&gt;&lt;/DisplayText&gt;&lt;record&gt;&lt;rec-number&gt;310&lt;/rec-number&gt;&lt;foreign-keys&gt;&lt;key app="EN" db-id="xdfe0wef8dwvxkezwxnparp1p5a0wtfwexte" timestamp="1639878919"&gt;310&lt;/key&gt;&lt;/foreign-keys&gt;&lt;ref-type name="Journal Article"&gt;17&lt;/ref-type&gt;&lt;contributors&gt;&lt;authors&gt;&lt;author&gt;朱星&lt;/author&gt;&lt;author&gt;朱万旭&lt;/author&gt;&lt;author&gt;周红梅&lt;/author&gt;&lt;/authors&gt;&lt;/contributors&gt;&lt;titles&gt;&lt;title&gt;新型高性能混凝土复合锚垫板的性能研究&lt;/title&gt;&lt;secondary-title&gt;混凝土与水泥制品&lt;/secondary-title&gt;&lt;/titles&gt;&lt;periodical&gt;&lt;full-title&gt;混凝土与水泥制品&lt;/full-title&gt;&lt;/periodical&gt;&lt;pages&gt;35-37&lt;/pages&gt;&lt;number&gt;8&lt;/number&gt;&lt;dates&gt;&lt;year&gt;2011&lt;/year&gt;&lt;/dates&gt;&lt;urls&gt;&lt;/urls&gt;&lt;/record&gt;&lt;/Cite&gt;&lt;Cite&gt;&lt;Author&gt;刘平伟&lt;/Author&gt;&lt;Year&gt;2011&lt;/Year&gt;&lt;RecNum&gt;296&lt;/RecNum&gt;&lt;record&gt;&lt;rec-number&gt;296&lt;/rec-number&gt;&lt;foreign-keys&gt;&lt;key app="EN" db-id="xdfe0wef8dwvxkezwxnparp1p5a0wtfwexte" timestamp="1639878895"&gt;296&lt;/key&gt;&lt;/foreign-keys&gt;&lt;ref-type name="Thesis"&gt;32&lt;/ref-type&gt;&lt;contributors&gt;&lt;authors&gt;&lt;author&gt;刘平伟&lt;/author&gt;&lt;/authors&gt;&lt;/contributors&gt;&lt;titles&gt;&lt;title&gt;30 米 T 梁后张预应力耐久性监测系统试验研究&lt;/title&gt;&lt;/titles&gt;&lt;dates&gt;&lt;year&gt;2011&lt;/year&gt;&lt;/dates&gt;&lt;publisher&gt;广西工学院&lt;/publisher&gt;&lt;urls&gt;&lt;/urls&gt;&lt;/record&gt;&lt;/Cite&gt;&lt;Cite&gt;&lt;Author&gt;朱星&lt;/Author&gt;&lt;Year&gt;2012&lt;/Year&gt;&lt;RecNum&gt;307&lt;/RecNum&gt;&lt;record&gt;&lt;rec-number&gt;307&lt;/rec-number&gt;&lt;foreign-keys&gt;&lt;key app="EN" db-id="xdfe0wef8dwvxkezwxnparp1p5a0wtfwexte" timestamp="1639878916"&gt;307&lt;/key&gt;&lt;/foreign-keys&gt;&lt;ref-type name="Thesis"&gt;32&lt;/ref-type&gt;&lt;contributors&gt;&lt;authors&gt;&lt;author&gt;朱星&lt;/author&gt;&lt;/authors&gt;&lt;/contributors&gt;&lt;titles&gt;&lt;title&gt;电绝缘后张法预应力筋的健康监测研究&lt;/title&gt;&lt;/titles&gt;&lt;dates&gt;&lt;year&gt;2012&lt;/year&gt;&lt;/dates&gt;&lt;publisher&gt;广西工学院&lt;/publisher&gt;&lt;urls&gt;&lt;/urls&gt;&lt;/record&gt;&lt;/Cite&gt;&lt;/EndNote&gt;</w:instrText>
            </w:r>
            <w:r>
              <w:fldChar w:fldCharType="separate"/>
            </w:r>
            <w:r>
              <w:rPr>
                <w:vertAlign w:val="superscript"/>
              </w:rPr>
              <w:t>[9-11]</w:t>
            </w:r>
            <w:r>
              <w:fldChar w:fldCharType="end"/>
            </w:r>
            <w:r>
              <w:rPr>
                <w:rFonts w:hint="eastAsia"/>
                <w:sz w:val="24"/>
              </w:rPr>
              <w:t>等人采用传统的金属波纹管孔道锚固体系与OVM.M15ZH型电绝缘型锚固体系的动态电阻值进行长期监测对比试验。试验结果表明；传统的金属波纹管孔道锚固体系的动态电阻值基本保持不变，OVM.M15ZH型电绝缘型锚固体系的动态电阻值则随着时间的推移呈上升趋势。</w:t>
            </w:r>
          </w:p>
          <w:p>
            <w:pPr>
              <w:jc w:val="center"/>
              <w:rPr>
                <w:rFonts w:hint="eastAsia"/>
              </w:rPr>
            </w:pPr>
            <w:r>
              <w:fldChar w:fldCharType="begin"/>
            </w:r>
            <w:r>
              <w:instrText xml:space="preserve">INCLUDEPICTURE "file:///C:\\Users\\zuo\\AppData\\Roaming\\Tencent\\Users\\357305915\\QQ\\WinTemp\\RichOle\\NP%60%5b%7bL8YPVBIZM%7bT_TZ12_V.png" \* MERGEFORMATINET </w:instrText>
            </w:r>
            <w:r>
              <w:fldChar w:fldCharType="separate"/>
            </w:r>
            <w:r>
              <w:pict>
                <v:shape id="_x0000_i1025" o:spt="75" type="#_x0000_t75" style="height:195.5pt;width:438.5pt;" filled="f" o:preferrelative="t" stroked="f" coordsize="21600,21600">
                  <v:path/>
                  <v:fill on="f" focussize="0,0"/>
                  <v:stroke on="f" joinstyle="miter"/>
                  <v:imagedata r:id="rId6" r:href="rId7" o:title=""/>
                  <o:lock v:ext="edit" aspectratio="t"/>
                  <w10:wrap type="none"/>
                  <w10:anchorlock/>
                </v:shape>
              </w:pict>
            </w:r>
            <w:r>
              <w:fldChar w:fldCharType="end"/>
            </w:r>
          </w:p>
          <w:p>
            <w:pPr>
              <w:jc w:val="center"/>
              <w:rPr>
                <w:rFonts w:hint="eastAsia"/>
                <w:sz w:val="24"/>
              </w:rPr>
            </w:pPr>
            <w:r>
              <w:rPr>
                <w:rFonts w:hint="eastAsia"/>
                <w:sz w:val="24"/>
              </w:rPr>
              <w:t>图4-1 电隔离锚具结构图</w:t>
            </w:r>
          </w:p>
          <w:p>
            <w:pPr>
              <w:jc w:val="center"/>
              <w:rPr>
                <w:rFonts w:hint="eastAsia"/>
                <w:sz w:val="24"/>
              </w:rPr>
            </w:pPr>
            <w:r>
              <w:rPr>
                <w:rFonts w:hint="eastAsia"/>
                <w:sz w:val="24"/>
              </w:rPr>
              <w:t>1.塑料波纹管2.塑料喇叭管3.预应力筋4.铸铁锚垫板5.绝缘垫</w:t>
            </w:r>
          </w:p>
          <w:p>
            <w:pPr>
              <w:jc w:val="center"/>
              <w:rPr>
                <w:rFonts w:hint="eastAsia"/>
                <w:sz w:val="24"/>
              </w:rPr>
            </w:pPr>
            <w:r>
              <w:rPr>
                <w:rFonts w:hint="eastAsia"/>
                <w:sz w:val="24"/>
              </w:rPr>
              <w:t>6.塑料锚罩7.浆体8.无收缩混凝土9.导线10.锚板</w:t>
            </w:r>
          </w:p>
          <w:p>
            <w:pPr>
              <w:ind w:firstLine="480" w:firstLineChars="200"/>
              <w:jc w:val="left"/>
              <w:rPr>
                <w:rFonts w:hint="eastAsia"/>
              </w:rPr>
            </w:pPr>
            <w:r>
              <w:rPr>
                <w:rFonts w:hint="eastAsia"/>
                <w:sz w:val="24"/>
              </w:rPr>
              <w:t>另一种采用非金属材料将整个预应力筋锚固区与混凝土隔离开，两种结构的都是建立一个密闭、完全独立的结构。如1图所示，通过塑料波纹管1、塑料喇叭管2、绝缘垫5、塑料锚罩7将整个预应力孔用非金属部件隔离开，对孔道类的预应力筋7形成隔离层，防止被侵蚀</w:t>
            </w:r>
            <w:r>
              <w:fldChar w:fldCharType="begin"/>
            </w:r>
            <w:r>
              <w:instrText xml:space="preserve"> ADDIN EN.CITE &lt;EndNote&gt;&lt;Cite&gt;&lt;Author&gt;Della Vedova&lt;/Author&gt;&lt;Year&gt;2006&lt;/Year&gt;&lt;RecNum&gt;301&lt;/RecNum&gt;&lt;DisplayText&gt;&lt;style face="superscript"&gt;[12]&lt;/style&gt;&lt;/DisplayText&gt;&lt;record&gt;&lt;rec-number&gt;301&lt;/rec-number&gt;&lt;foreign-keys&gt;&lt;key app="EN" db-id="xdfe0wef8dwvxkezwxnparp1p5a0wtfwexte" timestamp="1639878907"&gt;301&lt;/key&gt;&lt;/foreign-keys&gt;&lt;ref-type name="Conference Proceedings"&gt;10&lt;/ref-type&gt;&lt;contributors&gt;&lt;authors&gt;&lt;author&gt;Della Vedova, M&lt;/author&gt;&lt;author&gt;Elsener, B&lt;/author&gt;&lt;/authors&gt;&lt;/contributors&gt;&lt;titles&gt;&lt;title&gt;Enhanced durability, quality control and monitoring of electrically isolated tendons&lt;/title&gt;&lt;secondary-title&gt;Proc. 2nd International fib congress&lt;/secondary-title&gt;&lt;/titles&gt;&lt;volume&gt;5&lt;/volume&gt;&lt;number&gt;8&lt;/number&gt;&lt;dates&gt;&lt;year&gt;2006&lt;/year&gt;&lt;/dates&gt;&lt;urls&gt;&lt;/urls&gt;&lt;/record&gt;&lt;/Cite&gt;&lt;/EndNote&gt;</w:instrText>
            </w:r>
            <w:r>
              <w:fldChar w:fldCharType="separate"/>
            </w:r>
            <w:r>
              <w:rPr>
                <w:vertAlign w:val="superscript"/>
              </w:rPr>
              <w:t>[12]</w:t>
            </w:r>
            <w:r>
              <w:fldChar w:fldCharType="end"/>
            </w:r>
            <w:r>
              <w:rPr>
                <w:rFonts w:hint="eastAsia"/>
              </w:rPr>
              <w:t>。</w:t>
            </w:r>
          </w:p>
          <w:p>
            <w:pPr>
              <w:spacing w:before="240" w:after="240"/>
              <w:jc w:val="left"/>
              <w:rPr>
                <w:rFonts w:hint="eastAsia"/>
              </w:rPr>
            </w:pPr>
            <w:r>
              <w:rPr>
                <w:rFonts w:hint="eastAsia"/>
                <w:b/>
                <w:sz w:val="24"/>
              </w:rPr>
              <w:t>4.1、国外电隔离防护技术研究现状</w:t>
            </w:r>
          </w:p>
          <w:p>
            <w:pPr>
              <w:ind w:firstLine="480" w:firstLineChars="200"/>
              <w:jc w:val="left"/>
              <w:rPr>
                <w:rFonts w:hint="eastAsia"/>
              </w:rPr>
            </w:pPr>
            <w:r>
              <w:rPr>
                <w:rFonts w:hint="eastAsia"/>
                <w:sz w:val="24"/>
              </w:rPr>
              <w:t>早在1981年，MorrisSchupack等人发现通过封装的方式将预应力锚具结构与混凝土结构相隔离，形成独立的体系有利于隔离开外界对预应力钢材的腐蚀，并提出电隔离（Electrically Isolated）概念</w:t>
            </w:r>
            <w:r>
              <w:fldChar w:fldCharType="begin"/>
            </w:r>
            <w:r>
              <w:instrText xml:space="preserve"> ADDIN EN.CITE &lt;EndNote&gt;&lt;Cite&gt;&lt;Author&gt;Schupack&lt;/Author&gt;&lt;Year&gt;1982&lt;/Year&gt;&lt;RecNum&gt;300&lt;/RecNum&gt;&lt;DisplayText&gt;&lt;style face="superscript"&gt;[13]&lt;/style&gt;&lt;/DisplayText&gt;&lt;record&gt;&lt;rec-number&gt;300&lt;/rec-number&gt;&lt;foreign-keys&gt;&lt;key app="EN" db-id="xdfe0wef8dwvxkezwxnparp1p5a0wtfwexte" timestamp="1639878906"&gt;300&lt;/key&gt;&lt;/foreign-keys&gt;&lt;ref-type name="Generic"&gt;13&lt;/ref-type&gt;&lt;contributors&gt;&lt;authors&gt;&lt;author&gt;Schupack, Morris&lt;/author&gt;&lt;author&gt;Suarez, Mario G&lt;/author&gt;&lt;/authors&gt;&lt;/contributors&gt;&lt;titles&gt;&lt;title&gt;Electrically isolated reinforcing tendon assembly and method&lt;/title&gt;&lt;/titles&gt;&lt;dates&gt;&lt;year&gt;1982&lt;/year&gt;&lt;/dates&gt;&lt;publisher&gt;Google Patents&lt;/publisher&gt;&lt;urls&gt;&lt;/urls&gt;&lt;/record&gt;&lt;/Cite&gt;&lt;/EndNote&gt;</w:instrText>
            </w:r>
            <w:r>
              <w:fldChar w:fldCharType="separate"/>
            </w:r>
            <w:r>
              <w:rPr>
                <w:vertAlign w:val="superscript"/>
              </w:rPr>
              <w:t>[13]</w:t>
            </w:r>
            <w:r>
              <w:fldChar w:fldCharType="end"/>
            </w:r>
            <w:r>
              <w:rPr>
                <w:rFonts w:hint="eastAsia"/>
              </w:rPr>
              <w:t>。</w:t>
            </w:r>
          </w:p>
          <w:p>
            <w:pPr>
              <w:ind w:firstLine="480" w:firstLineChars="200"/>
              <w:jc w:val="left"/>
            </w:pPr>
            <w:r>
              <w:rPr>
                <w:rFonts w:hint="eastAsia"/>
                <w:sz w:val="24"/>
              </w:rPr>
              <w:t>2000年国际结构混凝土协会（fib），在技术报告《fibbulletin7》中针对塑料波纹管在后张预应力混凝土中的应用，提出一系列的测试方法和准则，并通过摩擦系数、水密性、孔道灌浆试验、电阻测试等实验进行性能验证，试验结果表明：采用塑料波纹管能够提高预应力筋腐蚀防护能力，降低预应力筋摩擦系数，为预应力筋腐蚀防护提出新的要求</w:t>
            </w:r>
            <w:r>
              <w:fldChar w:fldCharType="begin"/>
            </w:r>
            <w:r>
              <w:instrText xml:space="preserve"> ADDIN EN.CITE &lt;EndNote&gt;&lt;Cite ExcludeYear="1"&gt;&lt;Author&gt;du Beton&lt;/Author&gt;&lt;RecNum&gt;299&lt;/RecNum&gt;&lt;DisplayText&gt;&lt;style face="superscript"&gt;[14]&lt;/style&gt;&lt;/DisplayText&gt;&lt;record&gt;&lt;rec-number&gt;299&lt;/rec-number&gt;&lt;foreign-keys&gt;&lt;key app="EN" db-id="xdfe0wef8dwvxkezwxnparp1p5a0wtfwexte" timestamp="1639878905"&gt;299&lt;/key&gt;&lt;/foreign-keys&gt;&lt;ref-type name="Journal Article"&gt;17&lt;/ref-type&gt;&lt;contributors&gt;&lt;authors&gt;&lt;author&gt;du Beton, Federation Internationale&lt;/author&gt;&lt;/authors&gt;&lt;/contributors&gt;&lt;titles&gt;&lt;title&gt;Corrugated Plastic Ducts for internal bonded post-tensioning&lt;/title&gt;&lt;secondary-title&gt;Bulletin&lt;/secondary-title&gt;&lt;/titles&gt;&lt;periodical&gt;&lt;full-title&gt;Bulletin&lt;/full-title&gt;&lt;/periodical&gt;&lt;number&gt;7&lt;/number&gt;&lt;dates&gt;&lt;/dates&gt;&lt;urls&gt;&lt;/urls&gt;&lt;/record&gt;&lt;/Cite&gt;&lt;/EndNote&gt;</w:instrText>
            </w:r>
            <w:r>
              <w:fldChar w:fldCharType="separate"/>
            </w:r>
            <w:r>
              <w:rPr>
                <w:vertAlign w:val="superscript"/>
              </w:rPr>
              <w:t>[14]</w:t>
            </w:r>
            <w:r>
              <w:fldChar w:fldCharType="end"/>
            </w:r>
            <w:r>
              <w:rPr>
                <w:rFonts w:hint="eastAsia"/>
              </w:rPr>
              <w:t>。</w:t>
            </w:r>
          </w:p>
          <w:p>
            <w:pPr>
              <w:ind w:firstLine="480" w:firstLineChars="200"/>
              <w:jc w:val="left"/>
              <w:rPr>
                <w:rFonts w:hint="eastAsia"/>
              </w:rPr>
            </w:pPr>
            <w:r>
              <w:rPr>
                <w:rFonts w:hint="eastAsia"/>
                <w:sz w:val="24"/>
              </w:rPr>
              <w:t>2005年国际结构混凝土协会根据预应力体系的耐腐蚀能力划分为三种体系：PL1——传统的金属孔道、PL2——塑料波纹管孔道、PL3——塑料波纹管与电绝缘锚具相结合（EIT）。《fibBulletin33》中指出对于在PL1体系中预应力筋易受到的6大因素的腐蚀：（1）来自周围环境的氯化物（氯离子）；（2）杂散电流（直流电）；（3）金属溶解电解质；（4）材料的氢脆；（5）微动疲劳；（6）电接触</w:t>
            </w:r>
            <w:r>
              <w:fldChar w:fldCharType="begin"/>
            </w:r>
            <w:r>
              <w:instrText xml:space="preserve"> ADDIN EN.CITE &lt;EndNote&gt;&lt;Cite&gt;&lt;Author&gt;du béton&lt;/Author&gt;&lt;Year&gt;2006&lt;/Year&gt;&lt;RecNum&gt;314&lt;/RecNum&gt;&lt;DisplayText&gt;&lt;style face="superscript"&gt;[15]&lt;/style&gt;&lt;/DisplayText&gt;&lt;record&gt;&lt;rec-number&gt;314&lt;/rec-number&gt;&lt;foreign-keys&gt;&lt;key app="EN" db-id="xdfe0wef8dwvxkezwxnparp1p5a0wtfwexte" timestamp="1639883228"&gt;314&lt;/key&gt;&lt;/foreign-keys&gt;&lt;ref-type name="Book"&gt;6&lt;/ref-type&gt;&lt;contributors&gt;&lt;authors&gt;&lt;author&gt;du béton, F.&lt;/author&gt;&lt;/authors&gt;&lt;/contributors&gt;&lt;titles&gt;&lt;title&gt;Durability of Post-tensioning Tendons: Recommendation&lt;/title&gt;&lt;/titles&gt;&lt;dates&gt;&lt;year&gt;2006&lt;/year&gt;&lt;/dates&gt;&lt;publisher&gt;International Federation for Structural Concrete (fib)&lt;/publisher&gt;&lt;isbn&gt;9782883940734&lt;/isbn&gt;&lt;urls&gt;&lt;related-urls&gt;&lt;url&gt;https://books.google.com.hk/books?id=98I6HO57pDUC&lt;/url&gt;&lt;/related-urls&gt;&lt;/urls&gt;&lt;/record&gt;&lt;/Cite&gt;&lt;/EndNote&gt;</w:instrText>
            </w:r>
            <w:r>
              <w:fldChar w:fldCharType="separate"/>
            </w:r>
            <w:r>
              <w:rPr>
                <w:vertAlign w:val="superscript"/>
              </w:rPr>
              <w:t>[15]</w:t>
            </w:r>
            <w:r>
              <w:fldChar w:fldCharType="end"/>
            </w:r>
            <w:r>
              <w:rPr>
                <w:rFonts w:hint="eastAsia"/>
              </w:rPr>
              <w:t>。</w:t>
            </w:r>
          </w:p>
          <w:p>
            <w:pPr>
              <w:jc w:val="center"/>
              <w:rPr>
                <w:rFonts w:hint="eastAsia"/>
              </w:rPr>
            </w:pPr>
            <w:r>
              <w:rPr>
                <w:rFonts w:hint="eastAsia"/>
              </w:rPr>
              <w:drawing>
                <wp:inline distT="0" distB="0" distL="0" distR="0">
                  <wp:extent cx="2603500" cy="24574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03500" cy="2457450"/>
                          </a:xfrm>
                          <a:prstGeom prst="rect">
                            <a:avLst/>
                          </a:prstGeom>
                          <a:noFill/>
                          <a:ln>
                            <a:noFill/>
                          </a:ln>
                        </pic:spPr>
                      </pic:pic>
                    </a:graphicData>
                  </a:graphic>
                </wp:inline>
              </w:drawing>
            </w:r>
          </w:p>
          <w:p>
            <w:pPr>
              <w:jc w:val="center"/>
              <w:rPr>
                <w:rFonts w:hint="eastAsia"/>
                <w:sz w:val="24"/>
              </w:rPr>
            </w:pPr>
            <w:r>
              <w:rPr>
                <w:rFonts w:hint="eastAsia"/>
                <w:sz w:val="24"/>
              </w:rPr>
              <w:t>图4-2 fib预应力耐腐蚀性能体系</w:t>
            </w:r>
          </w:p>
          <w:p>
            <w:pPr>
              <w:ind w:firstLine="480" w:firstLineChars="200"/>
              <w:jc w:val="left"/>
              <w:rPr>
                <w:rFonts w:hint="eastAsia"/>
              </w:rPr>
            </w:pPr>
            <w:r>
              <w:rPr>
                <w:rFonts w:hint="eastAsia"/>
                <w:sz w:val="24"/>
              </w:rPr>
              <w:t>从绝缘垫耐压性能上讲，对于绝缘垫材料采用环氧或酚醛树脂、玻璃纤维等材料层压而成，具有良好的力学性能、电绝缘性能、耐电弧性、阻燃、耐高温等性能。产品主要应用于国家电气、电工、军工、交通、航天等领域，通常作为电气绝缘材料使用</w:t>
            </w:r>
            <w:r>
              <w:fldChar w:fldCharType="begin"/>
            </w:r>
            <w:r>
              <w:rPr>
                <w:rFonts w:hint="eastAsia"/>
              </w:rPr>
              <w:instrText xml:space="preserve"> ADDIN EN.CITE &lt;EndNote&gt;&lt;Cite&gt;&lt;Author&gt;曹雯&lt;/Author&gt;&lt;Year&gt;2019&lt;/Year&gt;&lt;RecNum&gt;315&lt;/RecNum&gt;&lt;DisplayText&gt;&lt;style face="superscript"&gt;[16]&lt;/style&gt;&lt;/DisplayText&gt;&lt;record&gt;&lt;rec-number&gt;315&lt;/rec-number&gt;&lt;foreign-keys&gt;&lt;key app="EN" db-id="xdfe0wef8dwvxkezwxnparp1p5a0wtfwexte" timestamp="1639888220"&gt;315&lt;/key&gt;&lt;/foreign-keys&gt;&lt;ref-type name="Journal Article"&gt;17&lt;/ref-type&gt;&lt;contributors&gt;&lt;authors&gt;&lt;author&gt;曹雯&lt;/author&gt;&lt;author&gt;宋倩文&lt;/author&gt;&lt;author&gt;申巍&lt;/author&gt;&lt;author&gt;吕泽鹏&lt;/author&gt;&lt;author&gt;朱永灿&lt;/author&gt;&lt;/authors&gt;&lt;/contributors&gt;&lt;auth-address&gt;西安工程大学电子信息学院;西北工业大学机电学院;国网陕西省电力公司电力科学研究院;电力设备电气绝缘国家重点实验室(西安交通大学);&lt;/auth-address&gt;&lt;titles&gt;&lt;title&gt;环氧/纸复合材料直流耐压寿命模型的估计方法&lt;/title&gt;&lt;secondary-title&gt;电工技术学报&lt;/secondary-title&gt;&lt;/titles&gt;&lt;periodical&gt;&lt;full-title&gt;电工技术学报&lt;/full-title&gt;&lt;/periodical&gt;&lt;pages&gt;3750-3758&lt;/pages&gt;&lt;volume&gt;34&lt;/volume&gt;&lt;number&gt;18&lt;/number&gt;&lt;keywords&gt;&lt;keyword&gt;环氧/纸复合材料&lt;/keyword&gt;&lt;keyword&gt;耐压特性&lt;/keyword&gt;&lt;keyword&gt;寿命模型&lt;/keyword&gt;&lt;keyword&gt;定数截尾&lt;/keyword&gt;&lt;keyword&gt;参数估计&lt;/keyword&gt;&lt;/keywords&gt;&lt;dates&gt;&lt;year&gt;2019&lt;/year&gt;&lt;/dates&gt;&lt;isbn&gt;1000-6753&lt;/isbn&gt;&lt;call-num&gt;11-2188/TM&lt;</w:instrText>
            </w:r>
            <w:r>
              <w:instrText xml:space="preserve">/call-num&gt;&lt;urls&gt;&lt;/urls&gt;&lt;electronic-resource-num&gt;10.19595/j.cnki.1000-6753.tces.190066&lt;/electronic-resource-num&gt;&lt;remote-database-provider&gt;Cnki&lt;/remote-database-provider&gt;&lt;/record&gt;&lt;/Cite&gt;&lt;/EndNote&gt;</w:instrText>
            </w:r>
            <w:r>
              <w:fldChar w:fldCharType="separate"/>
            </w:r>
            <w:r>
              <w:rPr>
                <w:vertAlign w:val="superscript"/>
              </w:rPr>
              <w:t>[16]</w:t>
            </w:r>
            <w:r>
              <w:fldChar w:fldCharType="end"/>
            </w:r>
            <w:r>
              <w:rPr>
                <w:rFonts w:hint="eastAsia"/>
              </w:rPr>
              <w:t>。</w:t>
            </w:r>
          </w:p>
          <w:p>
            <w:pPr>
              <w:ind w:firstLine="480" w:firstLineChars="200"/>
              <w:jc w:val="left"/>
              <w:rPr>
                <w:rFonts w:hint="eastAsia"/>
              </w:rPr>
            </w:pPr>
            <w:r>
              <w:rPr>
                <w:rFonts w:hint="eastAsia"/>
                <w:sz w:val="24"/>
              </w:rPr>
              <w:t>从电隔离后张预应力防腐原理上讲，目前，研究电隔离后张预应力混凝土防腐，所采用的结构方式是在预应力混凝土中建立一个密闭、完全独立的结构，通过LCR表测试（如3左所示）相对独立、密闭的预应力筋与混凝土结构中结构筋间的电阻值，判断预应力筋是否有受到腐蚀的危险，同时进行长期监测。图3右图中Ch、Rh、Rd分别表示孔道为纯电容，没有腐蚀破坏的高电阻、腐蚀破坏后有低电阻</w:t>
            </w:r>
            <w:r>
              <w:fldChar w:fldCharType="begin"/>
            </w:r>
            <w:r>
              <w:instrText xml:space="preserve"> ADDIN EN.CITE &lt;EndNote&gt;&lt;Cite&gt;&lt;Author&gt;Della Vedova&lt;/Author&gt;&lt;Year&gt;2004&lt;/Year&gt;&lt;RecNum&gt;298&lt;/RecNum&gt;&lt;DisplayText&gt;&lt;style face="superscript"&gt;[17]&lt;/style&gt;&lt;/DisplayText&gt;&lt;record&gt;&lt;rec-number&gt;298&lt;/rec-number&gt;&lt;foreign-keys&gt;&lt;key app="EN" db-id="xdfe0wef8dwvxkezwxnparp1p5a0wtfwexte" timestamp="1639878903"&gt;298&lt;/key&gt;&lt;/foreign-keys&gt;&lt;ref-type name="Conference Proceedings"&gt;10&lt;/ref-type&gt;&lt;contributors&gt;&lt;authors&gt;&lt;author&gt;Della Vedova, M&lt;/author&gt;&lt;author&gt;Elsener, B&lt;/author&gt;&lt;author&gt;Evangelista, L&lt;/author&gt;&lt;/authors&gt;&lt;/contributors&gt;&lt;titles&gt;&lt;title&gt;Corrosion protection and monitoring of electrically isolated post-tensioning tendons&lt;/title&gt;&lt;secondary-title&gt;Schriftenreihe der Technischen Universität Wien, Proc. Third European Conference on Structural Control&lt;/secondary-title&gt;&lt;/titles&gt;&lt;pages&gt;S5-47&lt;/pages&gt;&lt;dates&gt;&lt;year&gt;2004&lt;/year&gt;&lt;/dates&gt;&lt;urls&gt;&lt;/urls&gt;&lt;/record&gt;&lt;/Cite&gt;&lt;/EndNote&gt;</w:instrText>
            </w:r>
            <w:r>
              <w:fldChar w:fldCharType="separate"/>
            </w:r>
            <w:r>
              <w:rPr>
                <w:vertAlign w:val="superscript"/>
              </w:rPr>
              <w:t>[17]</w:t>
            </w:r>
            <w:r>
              <w:fldChar w:fldCharType="end"/>
            </w:r>
            <w:r>
              <w:rPr>
                <w:rFonts w:hint="eastAsia"/>
              </w:rPr>
              <w:t>。</w:t>
            </w:r>
          </w:p>
          <w:p>
            <w:pPr>
              <w:jc w:val="center"/>
            </w:pPr>
            <w:r>
              <w:rPr>
                <w:rFonts w:hint="eastAsia"/>
              </w:rPr>
              <w:fldChar w:fldCharType="begin"/>
            </w:r>
            <w:r>
              <w:rPr>
                <w:rFonts w:hint="eastAsia"/>
              </w:rPr>
              <w:fldChar w:fldCharType="separate"/>
            </w:r>
            <w:r>
              <w:rPr>
                <w:rFonts w:hint="eastAsia"/>
              </w:rPr>
              <w:t>{Vedova, 2006 #205}</w:t>
            </w:r>
            <w:r>
              <w:rPr>
                <w:rFonts w:hint="eastAsia"/>
              </w:rPr>
              <w:fldChar w:fldCharType="end"/>
            </w:r>
            <w:r>
              <w:drawing>
                <wp:inline distT="0" distB="0" distL="0" distR="0">
                  <wp:extent cx="5048250" cy="1835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t="5269" b="2394"/>
                          <a:stretch>
                            <a:fillRect/>
                          </a:stretch>
                        </pic:blipFill>
                        <pic:spPr>
                          <a:xfrm>
                            <a:off x="0" y="0"/>
                            <a:ext cx="5048250" cy="1835150"/>
                          </a:xfrm>
                          <a:prstGeom prst="rect">
                            <a:avLst/>
                          </a:prstGeom>
                          <a:noFill/>
                          <a:ln>
                            <a:noFill/>
                          </a:ln>
                          <a:effectLst/>
                        </pic:spPr>
                      </pic:pic>
                    </a:graphicData>
                  </a:graphic>
                </wp:inline>
              </w:drawing>
            </w:r>
          </w:p>
          <w:p>
            <w:pPr>
              <w:jc w:val="center"/>
              <w:rPr>
                <w:rFonts w:hint="eastAsia"/>
              </w:rPr>
            </w:pPr>
            <w:r>
              <w:rPr>
                <w:rFonts w:hint="eastAsia"/>
              </w:rPr>
              <w:t>图4-3 LCR表的测试方法与测试原理</w:t>
            </w:r>
          </w:p>
          <w:p>
            <w:pPr>
              <w:ind w:firstLine="480" w:firstLineChars="200"/>
              <w:jc w:val="left"/>
              <w:rPr>
                <w:rFonts w:hint="eastAsia"/>
                <w:sz w:val="24"/>
              </w:rPr>
            </w:pPr>
            <w:r>
              <w:rPr>
                <w:rFonts w:hint="eastAsia"/>
                <w:sz w:val="24"/>
              </w:rPr>
              <w:t>从监测预应力混凝结构的电隔离性能上讲，2014年国际结构混凝土协会（fib），在技术报告《fibbulletin75》中判断预应力筋是否有受到腐蚀的危险进行说明：在监测期间电阻值非常高，这意味着预应力筋受到保护，处于完全封装的状态；一旦发现电阻值低的时候，这意味着混凝土中的预应力筋已处于缺乏保护的状态；如果所测得的电阻值等于或接近零值。</w:t>
            </w:r>
          </w:p>
          <w:p>
            <w:pPr>
              <w:ind w:firstLine="480" w:firstLineChars="200"/>
              <w:jc w:val="left"/>
              <w:rPr>
                <w:rFonts w:hint="eastAsia"/>
              </w:rPr>
            </w:pPr>
            <w:r>
              <w:rPr>
                <w:rFonts w:hint="eastAsia"/>
                <w:sz w:val="24"/>
              </w:rPr>
              <w:t>2002年发布欧洲规范《ETAG013Post-tensioningKitsforPrestressingofStructures》中对混凝土中电隔离筋有明确的测试方法与要求。要求测试相预应力筋与混凝土结构中结构筋间的电阻值不小于1kilo-Ohm</w:t>
            </w:r>
            <w:r>
              <w:rPr>
                <w:vertAlign w:val="superscript"/>
              </w:rPr>
              <w:fldChar w:fldCharType="begin"/>
            </w:r>
            <w:r>
              <w:rPr>
                <w:vertAlign w:val="superscript"/>
              </w:rPr>
              <w:instrText xml:space="preserve"> ADDIN EN.CITE &lt;EndNote&gt;&lt;Cite&gt;&lt;Author&gt;Hartz-Ing.&lt;/Author&gt;&lt;Year&gt;2005&lt;/Year&gt;&lt;RecNum&gt;2&lt;/RecNum&gt;&lt;DisplayText&gt;&lt;style face="superscript"&gt;[18]&lt;/style&gt;&lt;/DisplayText&gt;&lt;record&gt;&lt;rec-number&gt;2&lt;/rec-number&gt;&lt;foreign-keys&gt;&lt;key app="EN" db-id="prppeezt390prtefdx2pvvap9xx2d92f0sxa" timestamp="1640091705"&gt;2&lt;/key&gt;&lt;/foreign-keys&gt;&lt;ref-type name="Journal Article"&gt;17&lt;/ref-type&gt;&lt;contributors&gt;&lt;authors&gt;&lt;author&gt;Hartz-Ing., Uwe&lt;/author&gt;&lt;/authors&gt;&lt;/contributors&gt;&lt;titles&gt;&lt;title&gt;Anwendung von ETAG 013: Spannverfahren für das Vorspannen von Tragwerken (Post-tensioning kits for prestressing of structures). Ein Erfahrungsbericht&lt;/title&gt;&lt;secondary-title&gt;Dibt Mitteilungen&lt;/secondary-title&gt;&lt;/titles&gt;&lt;pages&gt;182–187&lt;/pages&gt;&lt;volume&gt;36&lt;/volume&gt;&lt;number&gt;6&lt;/number&gt;&lt;dates&gt;&lt;year&gt;2005&lt;/year&gt;&lt;/dates&gt;&lt;urls&gt;&lt;/urls&gt;&lt;/record&gt;&lt;/Cite&gt;&lt;/EndNote&gt;</w:instrText>
            </w:r>
            <w:r>
              <w:rPr>
                <w:vertAlign w:val="superscript"/>
              </w:rPr>
              <w:fldChar w:fldCharType="separate"/>
            </w:r>
            <w:r>
              <w:rPr>
                <w:vertAlign w:val="superscript"/>
              </w:rPr>
              <w:t>[18]</w:t>
            </w:r>
            <w:r>
              <w:rPr>
                <w:vertAlign w:val="superscript"/>
              </w:rPr>
              <w:fldChar w:fldCharType="end"/>
            </w:r>
            <w:r>
              <w:rPr>
                <w:rFonts w:hint="eastAsia"/>
              </w:rPr>
              <w:t>。</w:t>
            </w:r>
          </w:p>
          <w:p>
            <w:pPr>
              <w:ind w:firstLine="420" w:firstLineChars="200"/>
              <w:jc w:val="left"/>
              <w:rPr>
                <w:rFonts w:hint="eastAsia"/>
              </w:rPr>
            </w:pPr>
            <w:r>
              <w:rPr>
                <w:rFonts w:hint="eastAsia"/>
              </w:rPr>
              <w:t>《Swiss Guideline（2001）》规定了动态电阻临界检测值R=500kΩm，损失因子D&lt;0.1，1米长的部分波纹管电容值C的测量值在2.34±0.04nF/m，不考虑孔洞的存在。《Swiss Guideline（2007）》重新作出调整，定义了电隔离后张预应力结构中三个限制值：监测、疲劳和夹杂电流的电阻值，电阻R＞20Ω，则说明预应力筋与混凝土中钢筋不接触，不存在微动疲劳；R=50kΩm，建议作为临界值进行长期监测；当结构中存在杂散电流，则监测的电阻值R不应该小于150kΩm。</w:t>
            </w:r>
          </w:p>
          <w:p>
            <w:pPr>
              <w:ind w:firstLine="420" w:firstLineChars="200"/>
              <w:jc w:val="left"/>
              <w:rPr>
                <w:rFonts w:hint="eastAsia"/>
              </w:rPr>
            </w:pPr>
            <w:r>
              <w:rPr>
                <w:rFonts w:hint="eastAsia"/>
              </w:rPr>
              <w:t>M.DellaVedova</w:t>
            </w:r>
            <w:r>
              <w:rPr>
                <w:rFonts w:hint="eastAsia"/>
                <w:vertAlign w:val="superscript"/>
              </w:rPr>
              <w:fldChar w:fldCharType="begin"/>
            </w:r>
            <w:r>
              <w:rPr>
                <w:rFonts w:hint="eastAsia"/>
                <w:vertAlign w:val="superscript"/>
              </w:rPr>
              <w:instrText xml:space="preserve"> REF _ENREF_20 \r \h </w:instrText>
            </w:r>
            <w:r>
              <w:rPr>
                <w:rFonts w:hint="eastAsia"/>
                <w:vertAlign w:val="superscript"/>
              </w:rPr>
              <w:fldChar w:fldCharType="separate"/>
            </w:r>
            <w:r>
              <w:rPr>
                <w:rFonts w:hint="eastAsia"/>
                <w:vertAlign w:val="superscript"/>
              </w:rPr>
              <w:t>[21]</w:t>
            </w:r>
            <w:r>
              <w:rPr>
                <w:rFonts w:hint="eastAsia"/>
              </w:rPr>
              <w:fldChar w:fldCharType="end"/>
            </w:r>
            <w:r>
              <w:rPr>
                <w:rFonts w:hint="eastAsia"/>
              </w:rPr>
              <w:t>等人通过在锚具内建立一个封装的结构，建立一个初期保护系统，构建电绝缘预应力锚固体系，防止含有氯离子的水的侵蚀。在瑞士和意大利高速铁路中将电绝缘预应力锚固体系做出了有益的尝试应用，通过监测，取得了较好的成果。</w:t>
            </w:r>
          </w:p>
          <w:p>
            <w:pPr>
              <w:ind w:firstLine="420" w:firstLineChars="200"/>
              <w:jc w:val="left"/>
              <w:rPr>
                <w:rFonts w:hint="eastAsia"/>
              </w:rPr>
            </w:pPr>
            <w:r>
              <w:rPr>
                <w:rFonts w:hint="eastAsia"/>
              </w:rPr>
              <w:t>B.Elsener针对《fibBulletin33》中PL3（电绝缘锚固体系）体系进行研究表明：电隔后张预应力体系对混凝土的质量控制是一种有效的方法</w:t>
            </w:r>
            <w:r>
              <w:fldChar w:fldCharType="begin"/>
            </w:r>
            <w:r>
              <w:instrText xml:space="preserve"> ADDIN EN.CITE &lt;EndNote&gt;&lt;Cite&gt;&lt;Author&gt;Elsener&lt;/Author&gt;&lt;Year&gt;2008&lt;/Year&gt;&lt;RecNum&gt;305&lt;/RecNum&gt;&lt;DisplayText&gt;&lt;style face="superscript"&gt;[19]&lt;/style&gt;&lt;/DisplayText&gt;&lt;record&gt;&lt;rec-number&gt;305&lt;/rec-number&gt;&lt;foreign-keys&gt;&lt;key app="EN" db-id="xdfe0wef8dwvxkezwxnparp1p5a0wtfwexte" timestamp="1639878913"&gt;305&lt;/key&gt;&lt;/foreign-keys&gt;&lt;ref-type name="Journal Article"&gt;17&lt;/ref-type&gt;&lt;contributors&gt;&lt;authors&gt;&lt;author&gt;Elsener, Bernhard&lt;/author&gt;&lt;/authors&gt;&lt;/contributors&gt;&lt;titles&gt;&lt;title&gt;Monitoring of electrically isolated post-tensioning tendons&lt;/title&gt;&lt;secondary-title&gt;Tailor made&lt;/secondary-title&gt;&lt;/titles&gt;&lt;periodical&gt;&lt;full-title&gt;Tailor made&lt;/full-title&gt;&lt;/periodical&gt;&lt;dates&gt;&lt;year&gt;2008&lt;/year&gt;&lt;/dates&gt;&lt;urls&gt;&lt;/urls&gt;&lt;/record&gt;&lt;/Cite&gt;&lt;/EndNote&gt;</w:instrText>
            </w:r>
            <w:r>
              <w:fldChar w:fldCharType="separate"/>
            </w:r>
            <w:r>
              <w:rPr>
                <w:vertAlign w:val="superscript"/>
              </w:rPr>
              <w:t>[19]</w:t>
            </w:r>
            <w:r>
              <w:fldChar w:fldCharType="end"/>
            </w:r>
            <w:r>
              <w:rPr>
                <w:rFonts w:hint="eastAsia"/>
              </w:rPr>
              <w:t>。</w:t>
            </w:r>
          </w:p>
          <w:p>
            <w:pPr>
              <w:ind w:firstLine="482" w:firstLineChars="200"/>
              <w:rPr>
                <w:b/>
                <w:sz w:val="24"/>
              </w:rPr>
            </w:pPr>
          </w:p>
          <w:p>
            <w:pPr>
              <w:rPr>
                <w:b/>
                <w:sz w:val="24"/>
              </w:rPr>
            </w:pPr>
            <w:r>
              <w:rPr>
                <w:rFonts w:hint="eastAsia"/>
                <w:b/>
                <w:sz w:val="24"/>
              </w:rPr>
              <w:t>3</w:t>
            </w:r>
            <w:r>
              <w:rPr>
                <w:b/>
                <w:sz w:val="24"/>
              </w:rPr>
              <w:t>. 实际应用意义和价值</w:t>
            </w:r>
          </w:p>
          <w:p>
            <w:pPr>
              <w:ind w:firstLine="480" w:firstLineChars="200"/>
              <w:rPr>
                <w:rFonts w:hint="eastAsia" w:eastAsia="宋体"/>
                <w:sz w:val="24"/>
                <w:lang w:eastAsia="zh-CN"/>
              </w:rPr>
            </w:pPr>
            <w:r>
              <w:rPr>
                <w:rFonts w:hint="eastAsia"/>
                <w:sz w:val="24"/>
              </w:rPr>
              <w:t>随着人类活动空间不断拓展，需要在恶劣环境中服役的工程结构日益增多。各国已建、在建和将建的跨海大桥、海底隧道、海港码头以及沿海地区、除冰盐地区兴建的高速铁路、高速公路、桥梁、工业建筑等重大工程都广泛采用预应力混凝土结构，这些工程结构</w:t>
            </w:r>
            <w:r>
              <w:rPr>
                <w:rFonts w:hint="eastAsia"/>
                <w:sz w:val="24"/>
                <w:lang w:eastAsia="zh-CN"/>
              </w:rPr>
              <w:t>面临恶劣侵蚀环境的同时也</w:t>
            </w:r>
            <w:r>
              <w:rPr>
                <w:rFonts w:hint="eastAsia"/>
                <w:sz w:val="24"/>
              </w:rPr>
              <w:t>需要具有更高的耐腐蚀性能和防护水平</w:t>
            </w:r>
            <w:r>
              <w:rPr>
                <w:rFonts w:hint="eastAsia"/>
                <w:sz w:val="24"/>
                <w:lang w:eastAsia="zh-CN"/>
              </w:rPr>
              <w:t>，因此开展新型电隔离预应力锚固体系性能的研究，提升结构的耐久性水平并对其健康状况进行长期监测，对确保重大土木工程结构全寿命使用安全，推动混凝土结构理论与技术应用，实现经济社会绿色、可持续发展具有重要意义。</w:t>
            </w:r>
          </w:p>
          <w:p>
            <w:pPr>
              <w:rPr>
                <w:b/>
                <w:sz w:val="24"/>
              </w:rPr>
            </w:pPr>
            <w:r>
              <w:rPr>
                <w:rFonts w:hint="eastAsia"/>
                <w:b/>
                <w:sz w:val="24"/>
              </w:rPr>
              <w:t>4</w:t>
            </w:r>
            <w:r>
              <w:rPr>
                <w:b/>
                <w:sz w:val="24"/>
              </w:rPr>
              <w:t>. 参考文献</w:t>
            </w:r>
          </w:p>
          <w:p>
            <w:pPr>
              <w:rPr>
                <w:sz w:val="24"/>
              </w:rPr>
            </w:pPr>
          </w:p>
          <w:p>
            <w:pPr>
              <w:rPr>
                <w:b/>
                <w:sz w:val="24"/>
              </w:rPr>
            </w:pPr>
            <w:r>
              <w:rPr>
                <w:rFonts w:hint="eastAsia"/>
                <w:b/>
                <w:sz w:val="24"/>
              </w:rPr>
              <w:t>5</w:t>
            </w:r>
            <w:r>
              <w:rPr>
                <w:b/>
                <w:sz w:val="24"/>
              </w:rPr>
              <w:t>. 已有研究成果</w:t>
            </w:r>
          </w:p>
          <w:p>
            <w:pPr>
              <w:rPr>
                <w:rFonts w:hint="eastAsia" w:eastAsia="宋体"/>
                <w:b/>
                <w:sz w:val="24"/>
                <w:lang w:eastAsia="zh-CN"/>
              </w:rPr>
            </w:pPr>
            <w:r>
              <w:rPr>
                <w:b/>
                <w:sz w:val="24"/>
              </w:rPr>
              <w:t>[</w:t>
            </w:r>
            <w:r>
              <w:rPr>
                <w:rFonts w:hint="eastAsia"/>
                <w:b/>
                <w:sz w:val="24"/>
              </w:rPr>
              <w:t>1</w:t>
            </w:r>
            <w:r>
              <w:rPr>
                <w:b/>
                <w:sz w:val="24"/>
              </w:rPr>
              <w:t>].</w:t>
            </w:r>
            <w:r>
              <w:rPr>
                <w:rFonts w:hint="eastAsia"/>
                <w:b/>
                <w:sz w:val="24"/>
                <w:lang w:eastAsia="zh-CN"/>
              </w:rPr>
              <w:t>完成新型电隔离体系的三维模型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eastAsia="宋体"/>
                <w:sz w:val="24"/>
                <w:szCs w:val="24"/>
                <w:lang w:val="en-US" w:eastAsia="zh-CN"/>
              </w:rPr>
            </w:pPr>
            <w:r>
              <w:rPr>
                <w:rFonts w:hint="eastAsia"/>
                <w:sz w:val="24"/>
                <w:szCs w:val="24"/>
                <w:lang w:eastAsia="zh-CN"/>
              </w:rPr>
              <w:t>结合国外现有电隔离防护体系以及</w:t>
            </w:r>
            <w:r>
              <w:rPr>
                <w:rFonts w:hint="eastAsia"/>
                <w:sz w:val="24"/>
                <w:szCs w:val="24"/>
                <w:lang w:val="en-US" w:eastAsia="zh-CN"/>
              </w:rPr>
              <w:t>OVM公司现有预应力常规锚固体系，设计出了新型电隔离预应力锚固体系，如图所示</w:t>
            </w:r>
          </w:p>
          <w:p>
            <w:pPr>
              <w:rPr>
                <w:rFonts w:hint="eastAsia"/>
                <w:b/>
                <w:sz w:val="24"/>
                <w:lang w:eastAsia="zh-CN"/>
              </w:rPr>
            </w:pPr>
            <w:r>
              <w:rPr>
                <w:b/>
                <w:sz w:val="24"/>
              </w:rPr>
              <w:t>[</w:t>
            </w:r>
            <w:r>
              <w:rPr>
                <w:rFonts w:hint="eastAsia"/>
                <w:b/>
                <w:sz w:val="24"/>
              </w:rPr>
              <w:t>2</w:t>
            </w:r>
            <w:r>
              <w:rPr>
                <w:b/>
                <w:sz w:val="24"/>
              </w:rPr>
              <w:t>].</w:t>
            </w:r>
            <w:r>
              <w:rPr>
                <w:rFonts w:hint="eastAsia"/>
                <w:b/>
                <w:sz w:val="24"/>
                <w:lang w:eastAsia="zh-CN"/>
              </w:rPr>
              <w:t>良好的设计平台和试验环境</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b/>
                <w:sz w:val="24"/>
                <w:lang w:eastAsia="zh-CN"/>
              </w:rPr>
            </w:pPr>
          </w:p>
        </w:tc>
      </w:tr>
    </w:tbl>
    <w:p>
      <w:pPr>
        <w:numPr>
          <w:ilvl w:val="0"/>
          <w:numId w:val="1"/>
        </w:numPr>
        <w:rPr>
          <w:b/>
          <w:bCs/>
          <w:sz w:val="36"/>
        </w:rPr>
      </w:pPr>
      <w:r>
        <w:br w:type="page"/>
      </w:r>
      <w:r>
        <w:rPr>
          <w:rFonts w:hint="eastAsia" w:ascii="黑体" w:hAnsi="黑体" w:eastAsia="黑体"/>
          <w:bCs/>
          <w:sz w:val="28"/>
        </w:rPr>
        <w:t>学位论文研究计划及预期目标</w:t>
      </w:r>
    </w:p>
    <w:p/>
    <w:tbl>
      <w:tblPr>
        <w:tblStyle w:val="7"/>
        <w:tblW w:w="96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Ex>
        <w:trPr>
          <w:trHeight w:val="9071" w:hRule="atLeast"/>
          <w:jc w:val="center"/>
        </w:trPr>
        <w:tc>
          <w:tcPr>
            <w:tcW w:w="9628" w:type="dxa"/>
          </w:tcPr>
          <w:p>
            <w:pPr>
              <w:spacing w:after="120" w:afterLines="50"/>
              <w:rPr>
                <w:rFonts w:ascii="楷体" w:hAnsi="楷体" w:eastAsia="楷体"/>
                <w:sz w:val="24"/>
              </w:rPr>
            </w:pPr>
            <w:r>
              <w:rPr>
                <w:rFonts w:eastAsia="楷体"/>
                <w:sz w:val="24"/>
              </w:rPr>
              <w:t>1</w:t>
            </w:r>
            <w:r>
              <w:rPr>
                <w:rFonts w:hint="eastAsia" w:ascii="楷体" w:hAnsi="楷体" w:eastAsia="楷体"/>
                <w:sz w:val="24"/>
              </w:rPr>
              <w:t>.拟采取的主要理论、研究方法、技术路线和实施方案（可续页）</w:t>
            </w:r>
          </w:p>
          <w:p>
            <w:pPr>
              <w:spacing w:after="120" w:afterLines="50"/>
              <w:rPr>
                <w:rFonts w:ascii="宋体" w:hAnsi="宋体"/>
                <w:b/>
                <w:sz w:val="24"/>
              </w:rPr>
            </w:pPr>
            <w:r>
              <w:rPr>
                <w:rFonts w:ascii="宋体" w:hAnsi="宋体"/>
                <w:b/>
                <w:sz w:val="24"/>
              </w:rPr>
              <w:t>1</w:t>
            </w:r>
            <w:r>
              <w:rPr>
                <w:rFonts w:hint="eastAsia" w:ascii="宋体" w:hAnsi="宋体"/>
                <w:b/>
                <w:sz w:val="24"/>
              </w:rPr>
              <w:t>.</w:t>
            </w:r>
            <w:r>
              <w:rPr>
                <w:rFonts w:ascii="宋体" w:hAnsi="宋体"/>
                <w:b/>
                <w:sz w:val="24"/>
              </w:rPr>
              <w:t xml:space="preserve"> 主要理论和研究方法</w:t>
            </w:r>
          </w:p>
          <w:p>
            <w:pPr>
              <w:spacing w:after="120" w:afterLines="50"/>
              <w:ind w:firstLine="480" w:firstLineChars="200"/>
              <w:rPr>
                <w:rFonts w:hint="eastAsia" w:ascii="宋体" w:hAnsi="宋体" w:eastAsia="宋体"/>
                <w:sz w:val="24"/>
                <w:lang w:eastAsia="zh-CN"/>
              </w:rPr>
            </w:pPr>
            <w:r>
              <w:rPr>
                <w:rFonts w:hint="eastAsia" w:ascii="宋体" w:hAnsi="宋体"/>
                <w:sz w:val="24"/>
                <w:lang w:eastAsia="zh-CN"/>
              </w:rPr>
              <w:t>本研究相关的理论主要包括锚固</w:t>
            </w:r>
            <w:r>
              <w:rPr>
                <w:rFonts w:hint="eastAsia" w:ascii="宋体" w:hAnsi="宋体"/>
                <w:sz w:val="24"/>
                <w:lang w:val="en-US" w:eastAsia="zh-CN"/>
              </w:rPr>
              <w:t>-</w:t>
            </w:r>
            <w:r>
              <w:rPr>
                <w:rFonts w:hint="eastAsia" w:ascii="宋体" w:hAnsi="宋体"/>
                <w:sz w:val="24"/>
                <w:lang w:eastAsia="zh-CN"/>
              </w:rPr>
              <w:t>接触力学、金属腐蚀机理、</w:t>
            </w:r>
            <w:bookmarkStart w:id="0" w:name="_GoBack"/>
            <w:bookmarkEnd w:id="0"/>
            <w:r>
              <w:rPr>
                <w:rFonts w:hint="eastAsia" w:ascii="宋体" w:hAnsi="宋体"/>
                <w:sz w:val="24"/>
                <w:lang w:eastAsia="zh-CN"/>
              </w:rPr>
              <w:t>非线性有限元的数值计算方法、预应力锚具试验、工程试验和实际工程设计理论等。主要研究方法为</w:t>
            </w:r>
          </w:p>
          <w:p>
            <w:pPr>
              <w:spacing w:after="120" w:afterLines="50"/>
              <w:rPr>
                <w:rFonts w:ascii="宋体" w:hAnsi="宋体"/>
                <w:b/>
                <w:sz w:val="24"/>
              </w:rPr>
            </w:pPr>
            <w:r>
              <w:rPr>
                <w:rFonts w:hint="eastAsia" w:ascii="宋体" w:hAnsi="宋体"/>
                <w:b/>
                <w:sz w:val="24"/>
              </w:rPr>
              <w:t>2.</w:t>
            </w:r>
            <w:r>
              <w:rPr>
                <w:rFonts w:ascii="宋体" w:hAnsi="宋体"/>
                <w:b/>
                <w:sz w:val="24"/>
              </w:rPr>
              <w:t xml:space="preserve"> 技术路线和实施方案</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62" w:hRule="atLeast"/>
          <w:jc w:val="center"/>
        </w:trPr>
        <w:tc>
          <w:tcPr>
            <w:tcW w:w="9628" w:type="dxa"/>
          </w:tcPr>
          <w:p>
            <w:pPr>
              <w:spacing w:after="120" w:afterLines="50"/>
              <w:rPr>
                <w:rFonts w:ascii="楷体" w:hAnsi="楷体" w:eastAsia="楷体"/>
                <w:sz w:val="24"/>
              </w:rPr>
            </w:pPr>
            <w:r>
              <w:rPr>
                <w:rFonts w:eastAsia="楷体"/>
                <w:sz w:val="24"/>
              </w:rPr>
              <w:t>2</w:t>
            </w:r>
            <w:r>
              <w:rPr>
                <w:rFonts w:hint="eastAsia" w:ascii="楷体" w:hAnsi="楷体" w:eastAsia="楷体"/>
                <w:sz w:val="24"/>
              </w:rPr>
              <w:t>.研究计划可行性，研究条件落实情况，可能存在的问题及解决办法（可续页）</w:t>
            </w:r>
          </w:p>
          <w:p>
            <w:pPr>
              <w:rPr>
                <w:rFonts w:ascii="宋体" w:hAnsi="宋体"/>
                <w:b/>
                <w:sz w:val="24"/>
              </w:rPr>
            </w:pPr>
            <w:r>
              <w:rPr>
                <w:rFonts w:ascii="宋体" w:hAnsi="宋体"/>
                <w:b/>
                <w:sz w:val="24"/>
              </w:rPr>
              <w:t>1</w:t>
            </w:r>
            <w:r>
              <w:rPr>
                <w:rFonts w:hint="eastAsia" w:ascii="宋体" w:hAnsi="宋体"/>
                <w:b/>
                <w:sz w:val="24"/>
              </w:rPr>
              <w:t>.</w:t>
            </w:r>
            <w:r>
              <w:rPr>
                <w:rFonts w:ascii="宋体" w:hAnsi="宋体"/>
                <w:b/>
                <w:sz w:val="24"/>
              </w:rPr>
              <w:t xml:space="preserve"> 可行性分析</w:t>
            </w:r>
          </w:p>
          <w:p>
            <w:pPr>
              <w:rPr>
                <w:rFonts w:ascii="宋体" w:hAnsi="宋体"/>
                <w:sz w:val="24"/>
              </w:rPr>
            </w:pPr>
            <w:r>
              <w:rPr>
                <w:rFonts w:hint="eastAsia" w:ascii="宋体" w:hAnsi="宋体"/>
                <w:sz w:val="24"/>
              </w:rPr>
              <w:t>本论文的可行性主要分为以下几点:</w:t>
            </w:r>
          </w:p>
          <w:p>
            <w:pPr>
              <w:rPr>
                <w:rFonts w:ascii="宋体" w:hAnsi="宋体"/>
                <w:sz w:val="24"/>
              </w:rPr>
            </w:pPr>
            <w:r>
              <w:rPr>
                <w:rFonts w:ascii="宋体" w:hAnsi="宋体"/>
                <w:sz w:val="24"/>
              </w:rPr>
              <w:t>[1] 对于安全平衡的研究</w:t>
            </w:r>
            <w:r>
              <w:rPr>
                <w:rFonts w:hint="eastAsia" w:ascii="宋体" w:hAnsi="宋体"/>
                <w:sz w:val="24"/>
              </w:rPr>
              <w:t>，</w:t>
            </w:r>
            <w:r>
              <w:rPr>
                <w:rFonts w:ascii="宋体" w:hAnsi="宋体"/>
                <w:sz w:val="24"/>
              </w:rPr>
              <w:t>前期已经进行了大量的数据测试</w:t>
            </w:r>
            <w:r>
              <w:rPr>
                <w:rFonts w:hint="eastAsia" w:ascii="宋体" w:hAnsi="宋体"/>
                <w:sz w:val="24"/>
              </w:rPr>
              <w:t>，包括正常人行走，正常人或截瘫患者穿戴外骨骼行走等，</w:t>
            </w:r>
            <w:r>
              <w:rPr>
                <w:rFonts w:ascii="宋体" w:hAnsi="宋体"/>
                <w:sz w:val="24"/>
              </w:rPr>
              <w:t>有一定的实验数据支撑</w:t>
            </w:r>
            <w:r>
              <w:rPr>
                <w:rFonts w:hint="eastAsia" w:ascii="宋体" w:hAnsi="宋体"/>
                <w:sz w:val="24"/>
              </w:rPr>
              <w:t>，并且在安全平衡方面也进行了大量的调研，具有迫切的需求，具有可靠的理论基础。</w:t>
            </w:r>
          </w:p>
          <w:p>
            <w:pPr>
              <w:rPr>
                <w:rFonts w:ascii="宋体" w:hAnsi="宋体"/>
                <w:sz w:val="24"/>
              </w:rPr>
            </w:pPr>
            <w:r>
              <w:rPr>
                <w:rFonts w:hint="eastAsia" w:ascii="宋体" w:hAnsi="宋体"/>
                <w:sz w:val="24"/>
              </w:rPr>
              <w:t>[</w:t>
            </w:r>
            <w:r>
              <w:rPr>
                <w:rFonts w:ascii="宋体" w:hAnsi="宋体"/>
                <w:sz w:val="24"/>
              </w:rPr>
              <w:t>2] 团队对下肢外骨骼机器人的研究积累了多年</w:t>
            </w:r>
            <w:r>
              <w:rPr>
                <w:rFonts w:hint="eastAsia" w:ascii="宋体" w:hAnsi="宋体"/>
                <w:sz w:val="24"/>
              </w:rPr>
              <w:t>，在实现了基本行走功能的基础上，可以提供对于安全平衡的数据采集环境，添加感知环境的传感器，提供所需的外骨骼机器人，确保数据采集，指标评估等实验顺利进行。</w:t>
            </w:r>
          </w:p>
          <w:p>
            <w:pPr>
              <w:rPr>
                <w:rFonts w:ascii="宋体" w:hAnsi="宋体"/>
                <w:sz w:val="24"/>
              </w:rPr>
            </w:pPr>
            <w:r>
              <w:rPr>
                <w:rFonts w:hint="eastAsia" w:ascii="宋体" w:hAnsi="宋体"/>
                <w:sz w:val="24"/>
              </w:rPr>
              <w:t>[</w:t>
            </w:r>
            <w:r>
              <w:rPr>
                <w:rFonts w:ascii="宋体" w:hAnsi="宋体"/>
                <w:sz w:val="24"/>
              </w:rPr>
              <w:t>3] 目前团队积累了许多的医疗合作资源</w:t>
            </w:r>
            <w:r>
              <w:rPr>
                <w:rFonts w:hint="eastAsia" w:ascii="宋体" w:hAnsi="宋体"/>
                <w:sz w:val="24"/>
              </w:rPr>
              <w:t>，</w:t>
            </w:r>
            <w:r>
              <w:rPr>
                <w:rFonts w:ascii="宋体" w:hAnsi="宋体"/>
                <w:sz w:val="24"/>
              </w:rPr>
              <w:t>可以提供符合穿戴条件的受试者</w:t>
            </w:r>
            <w:r>
              <w:rPr>
                <w:rFonts w:hint="eastAsia" w:ascii="宋体" w:hAnsi="宋体"/>
                <w:sz w:val="24"/>
              </w:rPr>
              <w:t>，</w:t>
            </w:r>
            <w:r>
              <w:rPr>
                <w:rFonts w:ascii="宋体" w:hAnsi="宋体"/>
                <w:sz w:val="24"/>
              </w:rPr>
              <w:t>进行实际的临床分析</w:t>
            </w:r>
            <w:r>
              <w:rPr>
                <w:rFonts w:hint="eastAsia" w:ascii="宋体" w:hAnsi="宋体"/>
                <w:sz w:val="24"/>
              </w:rPr>
              <w:t>，</w:t>
            </w:r>
            <w:r>
              <w:rPr>
                <w:rFonts w:ascii="宋体" w:hAnsi="宋体"/>
                <w:sz w:val="24"/>
              </w:rPr>
              <w:t>数据采集</w:t>
            </w:r>
            <w:r>
              <w:rPr>
                <w:rFonts w:hint="eastAsia" w:ascii="宋体" w:hAnsi="宋体"/>
                <w:sz w:val="24"/>
              </w:rPr>
              <w:t>。</w:t>
            </w:r>
          </w:p>
          <w:p>
            <w:pPr>
              <w:rPr>
                <w:rFonts w:ascii="宋体" w:hAnsi="宋体"/>
                <w:sz w:val="24"/>
              </w:rPr>
            </w:pPr>
            <w:r>
              <w:rPr>
                <w:rFonts w:ascii="宋体" w:hAnsi="宋体"/>
                <w:sz w:val="24"/>
              </w:rPr>
              <w:t>综上所述</w:t>
            </w:r>
            <w:r>
              <w:rPr>
                <w:rFonts w:hint="eastAsia" w:ascii="宋体" w:hAnsi="宋体"/>
                <w:sz w:val="24"/>
              </w:rPr>
              <w:t>，</w:t>
            </w:r>
            <w:r>
              <w:rPr>
                <w:rFonts w:ascii="宋体" w:hAnsi="宋体"/>
                <w:sz w:val="24"/>
              </w:rPr>
              <w:t>关于下肢外骨骼人机系统安全平衡的研究可以顺利进行</w:t>
            </w:r>
            <w:r>
              <w:rPr>
                <w:rFonts w:hint="eastAsia" w:ascii="宋体" w:hAnsi="宋体"/>
                <w:sz w:val="24"/>
              </w:rPr>
              <w:t>。</w:t>
            </w:r>
          </w:p>
          <w:p>
            <w:pPr>
              <w:rPr>
                <w:rFonts w:ascii="宋体" w:hAnsi="宋体"/>
                <w:b/>
                <w:sz w:val="24"/>
              </w:rPr>
            </w:pPr>
            <w:r>
              <w:rPr>
                <w:rFonts w:ascii="宋体" w:hAnsi="宋体"/>
                <w:b/>
                <w:sz w:val="24"/>
              </w:rPr>
              <w:t>2</w:t>
            </w:r>
            <w:r>
              <w:rPr>
                <w:rFonts w:hint="eastAsia" w:ascii="宋体" w:hAnsi="宋体"/>
                <w:b/>
                <w:sz w:val="24"/>
              </w:rPr>
              <w:t>.</w:t>
            </w:r>
            <w:r>
              <w:rPr>
                <w:rFonts w:ascii="宋体" w:hAnsi="宋体"/>
                <w:b/>
                <w:sz w:val="24"/>
              </w:rPr>
              <w:t xml:space="preserve"> 研究条件落实</w:t>
            </w:r>
          </w:p>
          <w:p>
            <w:pPr>
              <w:rPr>
                <w:rFonts w:ascii="宋体" w:hAnsi="宋体"/>
                <w:sz w:val="24"/>
              </w:rPr>
            </w:pPr>
            <w:r>
              <w:rPr>
                <w:rFonts w:ascii="宋体" w:hAnsi="宋体"/>
                <w:sz w:val="24"/>
              </w:rPr>
              <w:t>目前</w:t>
            </w:r>
            <w:r>
              <w:rPr>
                <w:rFonts w:hint="eastAsia" w:ascii="宋体" w:hAnsi="宋体"/>
                <w:sz w:val="24"/>
              </w:rPr>
              <w:t>，</w:t>
            </w:r>
            <w:r>
              <w:rPr>
                <w:rFonts w:ascii="宋体" w:hAnsi="宋体"/>
                <w:sz w:val="24"/>
              </w:rPr>
              <w:t>电子科技大学机器人研究中心外骨骼机器人团队拥有多代自主研发的下肢外骨骼助行系统</w:t>
            </w:r>
            <w:r>
              <w:rPr>
                <w:rFonts w:hint="eastAsia" w:ascii="宋体" w:hAnsi="宋体"/>
                <w:sz w:val="24"/>
              </w:rPr>
              <w:t>，拥有 VICON 运动捕捉系统、外骨骼测试平台、动力学分析设备，可以进行平衡指标的研究与验证，下一代外骨骼机器人预计增加脚底压力、姿态仪、测距元件等多种传感器，对于指标在实际系统上的应用提供数据来源，以及应用条件。同时，团队还有国内外多所大学有频繁的学术交流活动，整体学术氛围浓厚。此外，团队还与多家医院及医疗机构（电子科技大学校医院、华西医院、四川省康复医院、成都军区总医院、成都顾连康复医院等）建立了长期合作关系，可以顺利开展临床应用研究。</w:t>
            </w:r>
          </w:p>
          <w:p>
            <w:pPr>
              <w:rPr>
                <w:rFonts w:ascii="宋体" w:hAnsi="宋体"/>
                <w:b/>
                <w:sz w:val="24"/>
              </w:rPr>
            </w:pPr>
            <w:r>
              <w:rPr>
                <w:rFonts w:hint="eastAsia" w:ascii="宋体" w:hAnsi="宋体"/>
                <w:b/>
                <w:sz w:val="24"/>
              </w:rPr>
              <w:t>3.</w:t>
            </w:r>
            <w:r>
              <w:rPr>
                <w:rFonts w:ascii="宋体" w:hAnsi="宋体"/>
                <w:b/>
                <w:sz w:val="24"/>
              </w:rPr>
              <w:t xml:space="preserve"> 可能存在的问题及解决办法</w:t>
            </w:r>
          </w:p>
          <w:p>
            <w:pPr>
              <w:rPr>
                <w:rFonts w:ascii="宋体" w:hAnsi="宋体"/>
                <w:sz w:val="24"/>
              </w:rPr>
            </w:pPr>
            <w:r>
              <w:rPr>
                <w:rFonts w:ascii="宋体" w:hAnsi="宋体"/>
                <w:sz w:val="24"/>
              </w:rPr>
              <w:t>问题一</w:t>
            </w:r>
            <w:r>
              <w:rPr>
                <w:rFonts w:hint="eastAsia" w:ascii="宋体" w:hAnsi="宋体"/>
                <w:sz w:val="24"/>
              </w:rPr>
              <w:t>：</w:t>
            </w:r>
            <w:r>
              <w:rPr>
                <w:rFonts w:ascii="宋体" w:hAnsi="宋体"/>
                <w:sz w:val="24"/>
              </w:rPr>
              <w:t>人机系统平衡机理与人体平衡相去甚远</w:t>
            </w:r>
          </w:p>
          <w:p>
            <w:pPr>
              <w:rPr>
                <w:rFonts w:ascii="宋体" w:hAnsi="宋体"/>
                <w:sz w:val="24"/>
              </w:rPr>
            </w:pPr>
            <w:r>
              <w:rPr>
                <w:rFonts w:ascii="宋体" w:hAnsi="宋体"/>
                <w:sz w:val="24"/>
              </w:rPr>
              <w:t>解决办法</w:t>
            </w:r>
            <w:r>
              <w:rPr>
                <w:rFonts w:hint="eastAsia" w:ascii="宋体" w:hAnsi="宋体"/>
                <w:sz w:val="24"/>
              </w:rPr>
              <w:t>：由于人机系统需要使用拐杖来保持平衡，在支撑结构上介于双足和四足之间，为了解决这个问题，可以设计出符合人机系统模型的同时，借鉴双足和四足的研究方式，在模型上进行更多的尝试，为了减轻人机对拐杖的依赖，主要支撑仍应为腿部，拐杖则类似于前肢又不同于前肢，主要进行力学上的分析。</w:t>
            </w:r>
          </w:p>
          <w:p>
            <w:pPr>
              <w:rPr>
                <w:rFonts w:ascii="宋体" w:hAnsi="宋体"/>
                <w:sz w:val="24"/>
              </w:rPr>
            </w:pPr>
            <w:r>
              <w:rPr>
                <w:rFonts w:ascii="宋体" w:hAnsi="宋体"/>
                <w:sz w:val="24"/>
              </w:rPr>
              <w:t>问题二</w:t>
            </w:r>
            <w:r>
              <w:rPr>
                <w:rFonts w:hint="eastAsia" w:ascii="宋体" w:hAnsi="宋体"/>
                <w:sz w:val="24"/>
              </w:rPr>
              <w:t>：人机平衡指标难以界定</w:t>
            </w:r>
          </w:p>
          <w:p>
            <w:pPr>
              <w:rPr>
                <w:rFonts w:ascii="宋体" w:hAnsi="宋体"/>
                <w:sz w:val="24"/>
              </w:rPr>
            </w:pPr>
            <w:r>
              <w:rPr>
                <w:rFonts w:ascii="宋体" w:hAnsi="宋体"/>
                <w:sz w:val="24"/>
              </w:rPr>
              <w:t>解决办法</w:t>
            </w:r>
            <w:r>
              <w:rPr>
                <w:rFonts w:hint="eastAsia" w:ascii="宋体" w:hAnsi="宋体"/>
                <w:sz w:val="24"/>
              </w:rPr>
              <w:t>：</w:t>
            </w:r>
            <w:r>
              <w:rPr>
                <w:rFonts w:ascii="宋体" w:hAnsi="宋体"/>
                <w:sz w:val="24"/>
              </w:rPr>
              <w:t>在充分了解人机平衡机理的基础上</w:t>
            </w:r>
            <w:r>
              <w:rPr>
                <w:rFonts w:hint="eastAsia" w:ascii="宋体" w:hAnsi="宋体"/>
                <w:sz w:val="24"/>
              </w:rPr>
              <w:t>，</w:t>
            </w:r>
            <w:r>
              <w:rPr>
                <w:rFonts w:ascii="宋体" w:hAnsi="宋体"/>
                <w:sz w:val="24"/>
              </w:rPr>
              <w:t>尽可能多的尝试各种指标在人机系统上的可行性</w:t>
            </w:r>
            <w:r>
              <w:rPr>
                <w:rFonts w:hint="eastAsia" w:ascii="宋体" w:hAnsi="宋体"/>
                <w:sz w:val="24"/>
              </w:rPr>
              <w:t>，</w:t>
            </w:r>
            <w:r>
              <w:rPr>
                <w:rFonts w:ascii="宋体" w:hAnsi="宋体"/>
                <w:sz w:val="24"/>
              </w:rPr>
              <w:t>并在此基础上</w:t>
            </w:r>
            <w:r>
              <w:rPr>
                <w:rFonts w:hint="eastAsia" w:ascii="宋体" w:hAnsi="宋体"/>
                <w:sz w:val="24"/>
              </w:rPr>
              <w:t>，</w:t>
            </w:r>
            <w:r>
              <w:rPr>
                <w:rFonts w:ascii="宋体" w:hAnsi="宋体"/>
                <w:sz w:val="24"/>
              </w:rPr>
              <w:t>对指标进行改进</w:t>
            </w:r>
            <w:r>
              <w:rPr>
                <w:rFonts w:hint="eastAsia" w:ascii="宋体" w:hAnsi="宋体"/>
                <w:sz w:val="24"/>
              </w:rPr>
              <w:t>使其更适应于人机系统。</w:t>
            </w:r>
          </w:p>
          <w:p>
            <w:pPr>
              <w:rPr>
                <w:rFonts w:ascii="宋体" w:hAnsi="宋体"/>
                <w:sz w:val="24"/>
              </w:rPr>
            </w:pPr>
          </w:p>
        </w:tc>
      </w:tr>
    </w:tbl>
    <w:p>
      <w:pPr>
        <w:sectPr>
          <w:footerReference r:id="rId4" w:type="default"/>
          <w:pgSz w:w="11906" w:h="16838"/>
          <w:pgMar w:top="1134" w:right="1134" w:bottom="1134" w:left="1134" w:header="851" w:footer="992" w:gutter="0"/>
          <w:pgNumType w:start="1"/>
          <w:cols w:space="425" w:num="1"/>
          <w:docGrid w:linePitch="312" w:charSpace="0"/>
        </w:sectPr>
      </w:pPr>
    </w:p>
    <w:tbl>
      <w:tblPr>
        <w:tblStyle w:val="7"/>
        <w:tblW w:w="962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
      <w:tblGrid>
        <w:gridCol w:w="616"/>
        <w:gridCol w:w="1820"/>
        <w:gridCol w:w="719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9628"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b/>
                <w:sz w:val="24"/>
              </w:rPr>
            </w:pPr>
            <w:r>
              <w:br w:type="page"/>
            </w:r>
            <w:r>
              <w:br w:type="page"/>
            </w:r>
            <w:r>
              <w:br w:type="page"/>
            </w:r>
            <w:r>
              <w:br w:type="page"/>
            </w:r>
            <w:r>
              <w:rPr>
                <w:b/>
                <w:sz w:val="24"/>
              </w:rPr>
              <w:t>3</w:t>
            </w:r>
            <w:r>
              <w:rPr>
                <w:rFonts w:hint="eastAsia" w:ascii="宋体" w:hAnsi="宋体"/>
                <w:b/>
                <w:sz w:val="24"/>
              </w:rPr>
              <w:t>.</w:t>
            </w:r>
            <w:r>
              <w:rPr>
                <w:rFonts w:ascii="宋体" w:hAnsi="宋体"/>
                <w:b/>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restart"/>
            <w:tcBorders>
              <w:top w:val="single" w:color="auto" w:sz="4" w:space="0"/>
              <w:left w:val="single" w:color="auto" w:sz="4" w:space="0"/>
              <w:bottom w:val="single" w:color="auto" w:sz="4" w:space="0"/>
            </w:tcBorders>
            <w:vAlign w:val="center"/>
          </w:tcPr>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计</w:t>
            </w:r>
          </w:p>
          <w:p>
            <w:pPr>
              <w:jc w:val="center"/>
              <w:rPr>
                <w:b/>
                <w:bCs/>
              </w:rPr>
            </w:pPr>
            <w:r>
              <w:rPr>
                <w:rFonts w:hint="eastAsia"/>
                <w:sz w:val="24"/>
              </w:rPr>
              <w:t>划</w:t>
            </w:r>
          </w:p>
        </w:tc>
        <w:tc>
          <w:tcPr>
            <w:tcW w:w="1820" w:type="dxa"/>
            <w:tcBorders>
              <w:top w:val="single" w:color="auto" w:sz="4" w:space="0"/>
              <w:bottom w:val="single" w:color="auto" w:sz="4" w:space="0"/>
            </w:tcBorders>
            <w:vAlign w:val="center"/>
          </w:tcPr>
          <w:p>
            <w:pPr>
              <w:jc w:val="center"/>
              <w:rPr>
                <w:sz w:val="24"/>
              </w:rPr>
            </w:pPr>
            <w:r>
              <w:rPr>
                <w:rFonts w:hint="eastAsia"/>
                <w:sz w:val="24"/>
              </w:rPr>
              <w:t>起止年月</w:t>
            </w:r>
          </w:p>
        </w:tc>
        <w:tc>
          <w:tcPr>
            <w:tcW w:w="7192" w:type="dxa"/>
            <w:tcBorders>
              <w:top w:val="single" w:color="auto" w:sz="4" w:space="0"/>
              <w:bottom w:val="single" w:color="auto" w:sz="4" w:space="0"/>
              <w:right w:val="single" w:color="auto" w:sz="4" w:space="0"/>
            </w:tcBorders>
            <w:vAlign w:val="center"/>
          </w:tcPr>
          <w:p>
            <w:pPr>
              <w:jc w:val="center"/>
              <w:rPr>
                <w:sz w:val="24"/>
              </w:rPr>
            </w:pPr>
            <w:r>
              <w:rPr>
                <w:rFonts w:hint="eastAsia"/>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sz w:val="24"/>
              </w:rPr>
            </w:pPr>
            <w:r>
              <w:rPr>
                <w:rFonts w:hint="eastAsia"/>
                <w:bCs/>
                <w:sz w:val="24"/>
              </w:rPr>
              <w:t>2</w:t>
            </w:r>
            <w:r>
              <w:rPr>
                <w:bCs/>
                <w:sz w:val="24"/>
              </w:rPr>
              <w:t>021</w:t>
            </w:r>
            <w:r>
              <w:rPr>
                <w:rFonts w:hint="eastAsia"/>
                <w:bCs/>
                <w:sz w:val="24"/>
              </w:rPr>
              <w:t>.</w:t>
            </w:r>
            <w:r>
              <w:rPr>
                <w:bCs/>
                <w:sz w:val="24"/>
              </w:rPr>
              <w:t>12</w:t>
            </w:r>
            <w:r>
              <w:rPr>
                <w:rFonts w:hint="eastAsia"/>
                <w:bCs/>
                <w:sz w:val="24"/>
              </w:rPr>
              <w:t>-</w:t>
            </w:r>
            <w:r>
              <w:rPr>
                <w:bCs/>
                <w:sz w:val="24"/>
              </w:rPr>
              <w:t>2022</w:t>
            </w:r>
            <w:r>
              <w:rPr>
                <w:rFonts w:hint="eastAsia"/>
                <w:bCs/>
                <w:sz w:val="24"/>
              </w:rPr>
              <w:t>.</w:t>
            </w:r>
            <w:r>
              <w:rPr>
                <w:bCs/>
                <w:sz w:val="24"/>
              </w:rPr>
              <w:t>1</w:t>
            </w:r>
          </w:p>
        </w:tc>
        <w:tc>
          <w:tcPr>
            <w:tcW w:w="7192" w:type="dxa"/>
            <w:tcBorders>
              <w:top w:val="single" w:color="auto" w:sz="4" w:space="0"/>
              <w:bottom w:val="single" w:color="auto" w:sz="4" w:space="0"/>
              <w:right w:val="single" w:color="auto" w:sz="4" w:space="0"/>
            </w:tcBorders>
            <w:vAlign w:val="center"/>
          </w:tcPr>
          <w:p>
            <w:pPr>
              <w:jc w:val="left"/>
              <w:rPr>
                <w:rFonts w:hint="eastAsia" w:eastAsia="宋体"/>
                <w:bCs/>
                <w:sz w:val="24"/>
                <w:lang w:eastAsia="zh-CN"/>
              </w:rPr>
            </w:pPr>
            <w:r>
              <w:rPr>
                <w:rFonts w:hint="eastAsia"/>
                <w:bCs/>
                <w:sz w:val="24"/>
                <w:lang w:eastAsia="zh-CN"/>
              </w:rPr>
              <w:t>查阅国外电隔离防护技术相关文献和标准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sz w:val="24"/>
              </w:rPr>
            </w:pPr>
            <w:r>
              <w:rPr>
                <w:rFonts w:hint="eastAsia"/>
                <w:bCs/>
                <w:sz w:val="24"/>
              </w:rPr>
              <w:t>2</w:t>
            </w:r>
            <w:r>
              <w:rPr>
                <w:bCs/>
                <w:sz w:val="24"/>
              </w:rPr>
              <w:t>022</w:t>
            </w:r>
            <w:r>
              <w:rPr>
                <w:rFonts w:hint="eastAsia"/>
                <w:bCs/>
                <w:sz w:val="24"/>
              </w:rPr>
              <w:t>.</w:t>
            </w:r>
            <w:r>
              <w:rPr>
                <w:bCs/>
                <w:sz w:val="24"/>
              </w:rPr>
              <w:t>2</w:t>
            </w:r>
            <w:r>
              <w:rPr>
                <w:rFonts w:hint="eastAsia"/>
                <w:bCs/>
                <w:sz w:val="24"/>
              </w:rPr>
              <w:t>-</w:t>
            </w:r>
            <w:r>
              <w:rPr>
                <w:bCs/>
                <w:sz w:val="24"/>
              </w:rPr>
              <w:t>2022</w:t>
            </w:r>
            <w:r>
              <w:rPr>
                <w:rFonts w:hint="eastAsia"/>
                <w:bCs/>
                <w:sz w:val="24"/>
              </w:rPr>
              <w:t>.</w:t>
            </w:r>
            <w:r>
              <w:rPr>
                <w:bCs/>
                <w:sz w:val="24"/>
              </w:rPr>
              <w:t>4</w:t>
            </w:r>
          </w:p>
        </w:tc>
        <w:tc>
          <w:tcPr>
            <w:tcW w:w="7192" w:type="dxa"/>
            <w:tcBorders>
              <w:top w:val="single" w:color="auto" w:sz="4" w:space="0"/>
              <w:bottom w:val="single" w:color="auto" w:sz="4" w:space="0"/>
              <w:right w:val="single" w:color="auto" w:sz="4" w:space="0"/>
            </w:tcBorders>
            <w:vAlign w:val="center"/>
          </w:tcPr>
          <w:p>
            <w:pPr>
              <w:jc w:val="left"/>
              <w:rPr>
                <w:b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sz w:val="24"/>
              </w:rPr>
            </w:pPr>
            <w:r>
              <w:rPr>
                <w:rFonts w:hint="eastAsia"/>
                <w:bCs/>
                <w:sz w:val="24"/>
              </w:rPr>
              <w:t>2</w:t>
            </w:r>
            <w:r>
              <w:rPr>
                <w:bCs/>
                <w:sz w:val="24"/>
              </w:rPr>
              <w:t>022</w:t>
            </w:r>
            <w:r>
              <w:rPr>
                <w:rFonts w:hint="eastAsia"/>
                <w:bCs/>
                <w:sz w:val="24"/>
              </w:rPr>
              <w:t>.</w:t>
            </w:r>
            <w:r>
              <w:rPr>
                <w:bCs/>
                <w:sz w:val="24"/>
              </w:rPr>
              <w:t>5</w:t>
            </w:r>
            <w:r>
              <w:rPr>
                <w:rFonts w:hint="eastAsia"/>
                <w:bCs/>
                <w:sz w:val="24"/>
              </w:rPr>
              <w:t>-</w:t>
            </w:r>
            <w:r>
              <w:rPr>
                <w:bCs/>
                <w:sz w:val="24"/>
              </w:rPr>
              <w:t>2022</w:t>
            </w:r>
            <w:r>
              <w:rPr>
                <w:rFonts w:hint="eastAsia"/>
                <w:bCs/>
                <w:sz w:val="24"/>
              </w:rPr>
              <w:t>.</w:t>
            </w:r>
            <w:r>
              <w:rPr>
                <w:bCs/>
                <w:sz w:val="24"/>
              </w:rPr>
              <w:t>8</w:t>
            </w:r>
          </w:p>
        </w:tc>
        <w:tc>
          <w:tcPr>
            <w:tcW w:w="7192" w:type="dxa"/>
            <w:tcBorders>
              <w:top w:val="single" w:color="auto" w:sz="4" w:space="0"/>
              <w:bottom w:val="single" w:color="auto" w:sz="4" w:space="0"/>
              <w:right w:val="single" w:color="auto" w:sz="4" w:space="0"/>
            </w:tcBorders>
            <w:vAlign w:val="center"/>
          </w:tcPr>
          <w:p>
            <w:pPr>
              <w:jc w:val="left"/>
              <w:rPr>
                <w:b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sz w:val="24"/>
              </w:rPr>
            </w:pPr>
            <w:r>
              <w:rPr>
                <w:rFonts w:hint="eastAsia"/>
                <w:bCs/>
                <w:sz w:val="24"/>
              </w:rPr>
              <w:t>2</w:t>
            </w:r>
            <w:r>
              <w:rPr>
                <w:bCs/>
                <w:sz w:val="24"/>
              </w:rPr>
              <w:t>022</w:t>
            </w:r>
            <w:r>
              <w:rPr>
                <w:rFonts w:hint="eastAsia"/>
                <w:bCs/>
                <w:sz w:val="24"/>
              </w:rPr>
              <w:t>.</w:t>
            </w:r>
            <w:r>
              <w:rPr>
                <w:bCs/>
                <w:sz w:val="24"/>
              </w:rPr>
              <w:t>9</w:t>
            </w:r>
            <w:r>
              <w:rPr>
                <w:rFonts w:hint="eastAsia"/>
                <w:bCs/>
                <w:sz w:val="24"/>
              </w:rPr>
              <w:t>-</w:t>
            </w:r>
            <w:r>
              <w:rPr>
                <w:bCs/>
                <w:sz w:val="24"/>
              </w:rPr>
              <w:t>2022</w:t>
            </w:r>
            <w:r>
              <w:rPr>
                <w:rFonts w:hint="eastAsia"/>
                <w:bCs/>
                <w:sz w:val="24"/>
              </w:rPr>
              <w:t>.</w:t>
            </w:r>
            <w:r>
              <w:rPr>
                <w:bCs/>
                <w:sz w:val="24"/>
              </w:rPr>
              <w:t>11</w:t>
            </w:r>
          </w:p>
        </w:tc>
        <w:tc>
          <w:tcPr>
            <w:tcW w:w="7192" w:type="dxa"/>
            <w:tcBorders>
              <w:top w:val="single" w:color="auto" w:sz="4" w:space="0"/>
              <w:bottom w:val="single" w:color="auto" w:sz="4" w:space="0"/>
              <w:right w:val="single" w:color="auto" w:sz="4" w:space="0"/>
            </w:tcBorders>
            <w:vAlign w:val="center"/>
          </w:tcPr>
          <w:p>
            <w:pPr>
              <w:jc w:val="left"/>
              <w:rPr>
                <w:b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sz w:val="24"/>
              </w:rPr>
            </w:pPr>
            <w:r>
              <w:rPr>
                <w:rFonts w:hint="eastAsia"/>
                <w:bCs/>
                <w:sz w:val="24"/>
              </w:rPr>
              <w:t>2</w:t>
            </w:r>
            <w:r>
              <w:rPr>
                <w:bCs/>
                <w:sz w:val="24"/>
              </w:rPr>
              <w:t>022</w:t>
            </w:r>
            <w:r>
              <w:rPr>
                <w:rFonts w:hint="eastAsia"/>
                <w:bCs/>
                <w:sz w:val="24"/>
              </w:rPr>
              <w:t>.</w:t>
            </w:r>
            <w:r>
              <w:rPr>
                <w:bCs/>
                <w:sz w:val="24"/>
              </w:rPr>
              <w:t>12</w:t>
            </w:r>
            <w:r>
              <w:rPr>
                <w:rFonts w:hint="eastAsia"/>
                <w:bCs/>
                <w:sz w:val="24"/>
              </w:rPr>
              <w:t>-</w:t>
            </w:r>
            <w:r>
              <w:rPr>
                <w:bCs/>
                <w:sz w:val="24"/>
              </w:rPr>
              <w:t>2023.3</w:t>
            </w:r>
          </w:p>
        </w:tc>
        <w:tc>
          <w:tcPr>
            <w:tcW w:w="7192" w:type="dxa"/>
            <w:tcBorders>
              <w:top w:val="single" w:color="auto" w:sz="4" w:space="0"/>
              <w:bottom w:val="single" w:color="auto" w:sz="4" w:space="0"/>
              <w:right w:val="single" w:color="auto" w:sz="4" w:space="0"/>
            </w:tcBorders>
            <w:vAlign w:val="center"/>
          </w:tcPr>
          <w:p>
            <w:pPr>
              <w:jc w:val="left"/>
              <w:rPr>
                <w:rFonts w:hint="eastAsia" w:eastAsia="宋体"/>
                <w:bCs/>
                <w:sz w:val="24"/>
                <w:lang w:eastAsia="zh-CN"/>
              </w:rPr>
            </w:pPr>
            <w:r>
              <w:rPr>
                <w:rFonts w:hint="eastAsia"/>
                <w:bCs/>
                <w:sz w:val="24"/>
                <w:lang w:eastAsia="zh-CN"/>
              </w:rPr>
              <w:t>撰写毕业论文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rPr>
            </w:pPr>
          </w:p>
        </w:tc>
        <w:tc>
          <w:tcPr>
            <w:tcW w:w="1820" w:type="dxa"/>
            <w:tcBorders>
              <w:top w:val="single" w:color="auto" w:sz="4" w:space="0"/>
              <w:bottom w:val="single" w:color="auto" w:sz="4" w:space="0"/>
            </w:tcBorders>
            <w:vAlign w:val="center"/>
          </w:tcPr>
          <w:p>
            <w:pPr>
              <w:jc w:val="center"/>
              <w:rPr>
                <w:bCs/>
              </w:rPr>
            </w:pPr>
          </w:p>
        </w:tc>
        <w:tc>
          <w:tcPr>
            <w:tcW w:w="7192" w:type="dxa"/>
            <w:tcBorders>
              <w:top w:val="single" w:color="auto" w:sz="4" w:space="0"/>
              <w:bottom w:val="single" w:color="auto" w:sz="4" w:space="0"/>
              <w:right w:val="single" w:color="auto" w:sz="4" w:space="0"/>
            </w:tcBorders>
            <w:vAlign w:val="center"/>
          </w:tcPr>
          <w:p>
            <w:pPr>
              <w:jc w:val="left"/>
              <w:rPr>
                <w:bC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Ex>
        <w:trPr>
          <w:trHeight w:val="9941" w:hRule="atLeast"/>
          <w:jc w:val="center"/>
        </w:trPr>
        <w:tc>
          <w:tcPr>
            <w:tcW w:w="616"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预</w:t>
            </w:r>
          </w:p>
          <w:p>
            <w:pPr>
              <w:jc w:val="center"/>
              <w:rPr>
                <w:sz w:val="24"/>
              </w:rPr>
            </w:pPr>
            <w:r>
              <w:rPr>
                <w:rFonts w:hint="eastAsia"/>
                <w:sz w:val="24"/>
              </w:rPr>
              <w:t>期</w:t>
            </w:r>
          </w:p>
          <w:p>
            <w:pPr>
              <w:jc w:val="center"/>
              <w:rPr>
                <w:sz w:val="24"/>
              </w:rPr>
            </w:pPr>
            <w:r>
              <w:rPr>
                <w:rFonts w:hint="eastAsia"/>
                <w:sz w:val="24"/>
              </w:rPr>
              <w:t>创</w:t>
            </w:r>
          </w:p>
          <w:p>
            <w:pPr>
              <w:jc w:val="center"/>
              <w:rPr>
                <w:sz w:val="24"/>
              </w:rPr>
            </w:pPr>
            <w:r>
              <w:rPr>
                <w:rFonts w:hint="eastAsia"/>
                <w:sz w:val="24"/>
              </w:rPr>
              <w:t>新</w:t>
            </w:r>
          </w:p>
          <w:p>
            <w:pPr>
              <w:jc w:val="center"/>
              <w:rPr>
                <w:sz w:val="24"/>
              </w:rPr>
            </w:pPr>
            <w:r>
              <w:rPr>
                <w:rFonts w:hint="eastAsia"/>
                <w:sz w:val="24"/>
              </w:rPr>
              <w:t>点</w:t>
            </w:r>
          </w:p>
          <w:p>
            <w:pPr>
              <w:jc w:val="center"/>
              <w:rPr>
                <w:sz w:val="24"/>
              </w:rPr>
            </w:pPr>
            <w:r>
              <w:rPr>
                <w:rFonts w:hint="eastAsia"/>
                <w:sz w:val="24"/>
              </w:rPr>
              <w:t>及</w:t>
            </w:r>
          </w:p>
          <w:p>
            <w:pPr>
              <w:jc w:val="center"/>
              <w:rPr>
                <w:sz w:val="24"/>
              </w:rPr>
            </w:pPr>
            <w:r>
              <w:rPr>
                <w:rFonts w:hint="eastAsia"/>
                <w:sz w:val="24"/>
              </w:rPr>
              <w:t>成</w:t>
            </w:r>
          </w:p>
          <w:p>
            <w:pPr>
              <w:jc w:val="center"/>
              <w:rPr>
                <w:sz w:val="24"/>
              </w:rPr>
            </w:pPr>
            <w:r>
              <w:rPr>
                <w:rFonts w:hint="eastAsia"/>
                <w:sz w:val="24"/>
              </w:rPr>
              <w:t>果</w:t>
            </w:r>
          </w:p>
          <w:p>
            <w:pPr>
              <w:jc w:val="center"/>
              <w:rPr>
                <w:sz w:val="24"/>
              </w:rPr>
            </w:pPr>
            <w:r>
              <w:rPr>
                <w:rFonts w:hint="eastAsia"/>
                <w:sz w:val="24"/>
              </w:rPr>
              <w:t>形</w:t>
            </w:r>
          </w:p>
          <w:p>
            <w:pPr>
              <w:jc w:val="center"/>
            </w:pPr>
            <w:r>
              <w:rPr>
                <w:rFonts w:hint="eastAsia"/>
                <w:sz w:val="24"/>
              </w:rPr>
              <w:t>式</w:t>
            </w:r>
          </w:p>
        </w:tc>
        <w:tc>
          <w:tcPr>
            <w:tcW w:w="9012" w:type="dxa"/>
            <w:gridSpan w:val="2"/>
            <w:tcBorders>
              <w:top w:val="single" w:color="auto" w:sz="4" w:space="0"/>
              <w:left w:val="single" w:color="auto" w:sz="4" w:space="0"/>
              <w:bottom w:val="single" w:color="auto" w:sz="4" w:space="0"/>
              <w:right w:val="single" w:color="auto" w:sz="4" w:space="0"/>
            </w:tcBorders>
          </w:tcPr>
          <w:p>
            <w:pPr>
              <w:rPr>
                <w:sz w:val="24"/>
              </w:rPr>
            </w:pPr>
            <w:r>
              <w:rPr>
                <w:rFonts w:hint="eastAsia"/>
                <w:sz w:val="24"/>
              </w:rPr>
              <w:t>1.</w:t>
            </w:r>
            <w:r>
              <w:rPr>
                <w:sz w:val="24"/>
              </w:rPr>
              <w:t xml:space="preserve"> 预期创新点</w:t>
            </w:r>
          </w:p>
          <w:p>
            <w:pPr>
              <w:ind w:left="720" w:hanging="720" w:hangingChars="300"/>
              <w:rPr>
                <w:sz w:val="24"/>
              </w:rPr>
            </w:pPr>
            <w:r>
              <w:rPr>
                <w:rFonts w:hint="eastAsia"/>
                <w:sz w:val="24"/>
              </w:rPr>
              <w:t xml:space="preserve"> </w:t>
            </w:r>
            <w:r>
              <w:rPr>
                <w:sz w:val="24"/>
              </w:rPr>
              <w:t xml:space="preserve">  </w:t>
            </w:r>
          </w:p>
          <w:p>
            <w:pPr>
              <w:ind w:left="720" w:hanging="720" w:hangingChars="300"/>
              <w:rPr>
                <w:sz w:val="24"/>
              </w:rPr>
            </w:pPr>
          </w:p>
          <w:p>
            <w:pPr>
              <w:ind w:left="720" w:hanging="720" w:hangingChars="300"/>
              <w:rPr>
                <w:rFonts w:hint="eastAsia"/>
                <w:sz w:val="24"/>
              </w:rPr>
            </w:pPr>
            <w:r>
              <w:rPr>
                <w:sz w:val="24"/>
              </w:rPr>
              <w:t>2</w:t>
            </w:r>
            <w:r>
              <w:rPr>
                <w:rFonts w:hint="eastAsia"/>
                <w:sz w:val="24"/>
              </w:rPr>
              <w:t>.</w:t>
            </w:r>
            <w:r>
              <w:rPr>
                <w:sz w:val="24"/>
              </w:rPr>
              <w:t xml:space="preserve"> 成果形式</w:t>
            </w:r>
          </w:p>
          <w:p>
            <w:pPr>
              <w:ind w:left="720" w:hanging="720" w:hangingChars="300"/>
              <w:rPr>
                <w:sz w:val="24"/>
              </w:rPr>
            </w:pPr>
          </w:p>
        </w:tc>
      </w:tr>
    </w:tbl>
    <w:p>
      <w:pPr>
        <w:numPr>
          <w:ilvl w:val="0"/>
          <w:numId w:val="1"/>
        </w:numPr>
        <w:rPr>
          <w:b/>
          <w:bCs/>
          <w:sz w:val="36"/>
        </w:rPr>
      </w:pPr>
      <w:r>
        <w:br w:type="page"/>
      </w:r>
      <w:r>
        <w:rPr>
          <w:rFonts w:hint="eastAsia" w:ascii="黑体" w:hAnsi="黑体" w:eastAsia="黑体"/>
          <w:bCs/>
          <w:sz w:val="28"/>
        </w:rPr>
        <w:t>开题报告审查意见</w:t>
      </w:r>
    </w:p>
    <w:tbl>
      <w:tblPr>
        <w:tblStyle w:val="7"/>
        <w:tblW w:w="962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
      <w:tblGrid>
        <w:gridCol w:w="1130"/>
        <w:gridCol w:w="2330"/>
        <w:gridCol w:w="2076"/>
        <w:gridCol w:w="40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268" w:hRule="atLeast"/>
          <w:jc w:val="center"/>
        </w:trPr>
        <w:tc>
          <w:tcPr>
            <w:tcW w:w="9622" w:type="dxa"/>
            <w:gridSpan w:val="4"/>
            <w:tcBorders>
              <w:bottom w:val="nil"/>
            </w:tcBorders>
          </w:tcPr>
          <w:p>
            <w:pPr>
              <w:spacing w:after="120" w:afterLines="50"/>
              <w:rPr>
                <w:rFonts w:eastAsia="楷体"/>
                <w:sz w:val="24"/>
              </w:rPr>
            </w:pPr>
            <w:r>
              <w:rPr>
                <w:rFonts w:hint="eastAsia" w:eastAsia="楷体"/>
                <w:sz w:val="24"/>
              </w:rPr>
              <w:t>1.</w:t>
            </w:r>
            <w:r>
              <w:rPr>
                <w:rFonts w:eastAsia="楷体"/>
                <w:sz w:val="24"/>
              </w:rPr>
              <w:t xml:space="preserve"> </w:t>
            </w:r>
            <w:r>
              <w:rPr>
                <w:rFonts w:hint="eastAsia" w:eastAsia="楷体"/>
                <w:sz w:val="24"/>
              </w:rPr>
              <w:t>导师对学位</w:t>
            </w:r>
            <w:r>
              <w:rPr>
                <w:rFonts w:hint="eastAsia" w:ascii="楷体" w:hAnsi="楷体" w:eastAsia="楷体"/>
                <w:sz w:val="24"/>
              </w:rPr>
              <w:t>论文</w:t>
            </w:r>
            <w:r>
              <w:rPr>
                <w:rFonts w:hint="eastAsia" w:eastAsia="楷体"/>
                <w:sz w:val="24"/>
              </w:rPr>
              <w:t>选题和论文计划可行性意见，是否同意开题：</w:t>
            </w:r>
          </w:p>
          <w:p/>
          <w:p/>
          <w:p/>
          <w:p/>
          <w:p/>
          <w:p/>
          <w:p>
            <w:r>
              <w:rPr>
                <w:rFonts w:hint="eastAsia"/>
              </w:rPr>
              <w:t xml:space="preserve">校内导师（组）签字：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p>
            <w:r>
              <w:rPr>
                <w:rFonts w:hint="eastAsia"/>
              </w:rPr>
              <w:t xml:space="preserve">校外导师签字：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9622" w:type="dxa"/>
            <w:gridSpan w:val="4"/>
            <w:vAlign w:val="center"/>
          </w:tcPr>
          <w:p>
            <w:pPr>
              <w:rPr>
                <w:b/>
                <w:sz w:val="24"/>
              </w:rPr>
            </w:pPr>
            <w:r>
              <w:rPr>
                <w:rFonts w:hint="eastAsia"/>
                <w:b/>
                <w:sz w:val="24"/>
              </w:rPr>
              <w:t>2</w:t>
            </w:r>
            <w:r>
              <w:rPr>
                <w:rFonts w:hint="eastAsia" w:ascii="宋体" w:hAnsi="宋体"/>
                <w:b/>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rPr>
                <w:sz w:val="24"/>
              </w:rPr>
            </w:pPr>
            <w:r>
              <w:rPr>
                <w:rFonts w:hint="eastAsia"/>
                <w:sz w:val="24"/>
              </w:rPr>
              <w:t>开题日期</w:t>
            </w:r>
          </w:p>
        </w:tc>
        <w:tc>
          <w:tcPr>
            <w:tcW w:w="2330" w:type="dxa"/>
            <w:vAlign w:val="center"/>
          </w:tcPr>
          <w:p>
            <w:pPr>
              <w:jc w:val="center"/>
              <w:rPr>
                <w:sz w:val="24"/>
              </w:rPr>
            </w:pPr>
          </w:p>
        </w:tc>
        <w:tc>
          <w:tcPr>
            <w:tcW w:w="2076" w:type="dxa"/>
            <w:vAlign w:val="center"/>
          </w:tcPr>
          <w:p>
            <w:pPr>
              <w:jc w:val="center"/>
              <w:rPr>
                <w:sz w:val="24"/>
              </w:rPr>
            </w:pPr>
            <w:r>
              <w:rPr>
                <w:rFonts w:hint="eastAsia"/>
                <w:sz w:val="24"/>
              </w:rPr>
              <w:t>开题地点</w:t>
            </w:r>
          </w:p>
        </w:tc>
        <w:tc>
          <w:tcPr>
            <w:tcW w:w="4086" w:type="dxa"/>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rPr>
                <w:sz w:val="24"/>
              </w:rPr>
            </w:pPr>
            <w:r>
              <w:rPr>
                <w:rFonts w:hint="eastAsia"/>
                <w:sz w:val="24"/>
              </w:rPr>
              <w:t>考评专家</w:t>
            </w:r>
          </w:p>
        </w:tc>
        <w:tc>
          <w:tcPr>
            <w:tcW w:w="8492" w:type="dxa"/>
            <w:gridSpan w:val="3"/>
            <w:vAlign w:val="center"/>
          </w:tcPr>
          <w:p>
            <w:pPr>
              <w:rPr>
                <w:sz w:val="24"/>
              </w:rPr>
            </w:pPr>
            <w:r>
              <w:rPr>
                <w:rFonts w:hint="eastAsia"/>
                <w:sz w:val="24"/>
              </w:rPr>
              <w:t xml:space="preserve"> </w:t>
            </w:r>
            <w:r>
              <w:rPr>
                <w:sz w:val="24"/>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vAlign w:val="center"/>
          </w:tcPr>
          <w:p>
            <w:pPr>
              <w:jc w:val="center"/>
              <w:rPr>
                <w:sz w:val="24"/>
              </w:rPr>
            </w:pPr>
            <w:r>
              <w:rPr>
                <w:rFonts w:hint="eastAsia"/>
                <w:sz w:val="24"/>
              </w:rPr>
              <w:t>考评成绩</w:t>
            </w:r>
          </w:p>
        </w:tc>
        <w:tc>
          <w:tcPr>
            <w:tcW w:w="8492" w:type="dxa"/>
            <w:gridSpan w:val="3"/>
            <w:vAlign w:val="center"/>
          </w:tcPr>
          <w:p>
            <w:pPr>
              <w:ind w:firstLine="720" w:firstLineChars="30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97" w:hRule="atLeast"/>
          <w:jc w:val="center"/>
        </w:trPr>
        <w:tc>
          <w:tcPr>
            <w:tcW w:w="1130" w:type="dxa"/>
            <w:tcBorders>
              <w:bottom w:val="single" w:color="auto" w:sz="6" w:space="0"/>
            </w:tcBorders>
            <w:vAlign w:val="center"/>
          </w:tcPr>
          <w:p>
            <w:pPr>
              <w:jc w:val="center"/>
              <w:rPr>
                <w:sz w:val="24"/>
              </w:rPr>
            </w:pPr>
            <w:r>
              <w:rPr>
                <w:rFonts w:hint="eastAsia"/>
                <w:sz w:val="24"/>
              </w:rPr>
              <w:t xml:space="preserve">结 </w:t>
            </w:r>
            <w:r>
              <w:rPr>
                <w:sz w:val="24"/>
              </w:rPr>
              <w:t xml:space="preserve">   </w:t>
            </w:r>
            <w:r>
              <w:rPr>
                <w:rFonts w:hint="eastAsia"/>
                <w:sz w:val="24"/>
              </w:rPr>
              <w:t>论</w:t>
            </w:r>
          </w:p>
        </w:tc>
        <w:tc>
          <w:tcPr>
            <w:tcW w:w="8492" w:type="dxa"/>
            <w:gridSpan w:val="3"/>
            <w:tcBorders>
              <w:bottom w:val="single" w:color="auto" w:sz="6" w:space="0"/>
            </w:tcBorders>
            <w:vAlign w:val="center"/>
          </w:tcPr>
          <w:p>
            <w:pPr>
              <w:spacing w:before="240" w:beforeLines="100" w:after="240" w:afterLines="100"/>
              <w:ind w:firstLine="708" w:firstLineChars="300"/>
              <w:rPr>
                <w:spacing w:val="-2"/>
                <w:sz w:val="24"/>
              </w:rPr>
            </w:pPr>
            <w:r>
              <w:rPr>
                <w:rFonts w:hint="eastAsia" w:ascii="宋体" w:hAnsi="宋体"/>
                <w:spacing w:val="-2"/>
                <w:sz w:val="24"/>
              </w:rPr>
              <w:t>□</w:t>
            </w:r>
            <w:r>
              <w:rPr>
                <w:rFonts w:hint="eastAsia"/>
                <w:spacing w:val="-2"/>
                <w:sz w:val="24"/>
              </w:rPr>
              <w:t xml:space="preserve">通过 </w:t>
            </w:r>
            <w:r>
              <w:rPr>
                <w:spacing w:val="-2"/>
                <w:sz w:val="24"/>
              </w:rPr>
              <w:t xml:space="preserve">           </w:t>
            </w:r>
            <w:r>
              <w:rPr>
                <w:rFonts w:hint="eastAsia" w:ascii="宋体" w:hAnsi="宋体"/>
                <w:spacing w:val="-2"/>
                <w:sz w:val="24"/>
              </w:rPr>
              <w:t>□原则</w:t>
            </w:r>
            <w:r>
              <w:rPr>
                <w:rFonts w:hint="eastAsia"/>
                <w:spacing w:val="-2"/>
                <w:sz w:val="24"/>
              </w:rPr>
              <w:t xml:space="preserve">通过 </w:t>
            </w:r>
            <w:r>
              <w:rPr>
                <w:spacing w:val="-2"/>
                <w:sz w:val="24"/>
              </w:rPr>
              <w:t xml:space="preserve">          </w:t>
            </w:r>
            <w:r>
              <w:rPr>
                <w:rFonts w:hint="eastAsia" w:ascii="宋体" w:hAnsi="宋体"/>
                <w:spacing w:val="-2"/>
                <w:sz w:val="24"/>
              </w:rPr>
              <w:t>□不</w:t>
            </w:r>
            <w:r>
              <w:rPr>
                <w:rFonts w:hint="eastAsia"/>
                <w:spacing w:val="-2"/>
                <w:sz w:val="24"/>
              </w:rPr>
              <w:t xml:space="preserve">通过 </w:t>
            </w:r>
          </w:p>
          <w:p>
            <w:pPr>
              <w:rPr>
                <w:spacing w:val="-2"/>
                <w:sz w:val="18"/>
                <w:szCs w:val="18"/>
              </w:rPr>
            </w:pPr>
            <w:r>
              <w:rPr>
                <w:rFonts w:hint="eastAsia"/>
                <w:b/>
                <w:spacing w:val="181"/>
                <w:kern w:val="0"/>
                <w:sz w:val="18"/>
                <w:szCs w:val="18"/>
                <w:fitText w:val="724" w:id="3"/>
              </w:rPr>
              <w:t>通</w:t>
            </w:r>
            <w:r>
              <w:rPr>
                <w:rFonts w:hint="eastAsia"/>
                <w:b/>
                <w:kern w:val="0"/>
                <w:sz w:val="18"/>
                <w:szCs w:val="18"/>
                <w:fitText w:val="724" w:id="3"/>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pacing w:val="15"/>
                <w:w w:val="92"/>
                <w:kern w:val="0"/>
                <w:sz w:val="18"/>
                <w:szCs w:val="18"/>
                <w:fitText w:val="724" w:id="4"/>
              </w:rPr>
              <w:t>原则通</w:t>
            </w:r>
            <w:r>
              <w:rPr>
                <w:rFonts w:hint="eastAsia"/>
                <w:b/>
                <w:spacing w:val="-15"/>
                <w:w w:val="92"/>
                <w:kern w:val="0"/>
                <w:sz w:val="18"/>
                <w:szCs w:val="18"/>
                <w:fitText w:val="724" w:id="4"/>
              </w:rPr>
              <w:t>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sz w:val="24"/>
              </w:rPr>
            </w:pPr>
            <w:r>
              <w:rPr>
                <w:rFonts w:hint="eastAsia"/>
                <w:b/>
                <w:spacing w:val="46"/>
                <w:kern w:val="0"/>
                <w:sz w:val="18"/>
                <w:szCs w:val="18"/>
                <w:fitText w:val="724" w:id="5"/>
              </w:rPr>
              <w:t>不通</w:t>
            </w:r>
            <w:r>
              <w:rPr>
                <w:rFonts w:hint="eastAsia"/>
                <w:b/>
                <w:spacing w:val="-1"/>
                <w:kern w:val="0"/>
                <w:sz w:val="18"/>
                <w:szCs w:val="18"/>
                <w:fitText w:val="724" w:id="5"/>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jc w:val="center"/>
        </w:trPr>
        <w:tc>
          <w:tcPr>
            <w:tcW w:w="9622" w:type="dxa"/>
            <w:gridSpan w:val="4"/>
            <w:tcBorders>
              <w:bottom w:val="nil"/>
            </w:tcBorders>
          </w:tcPr>
          <w:p>
            <w:pPr>
              <w:spacing w:after="120" w:afterLines="50"/>
              <w:rPr>
                <w:rFonts w:eastAsia="楷体"/>
                <w:sz w:val="24"/>
              </w:rPr>
            </w:pPr>
            <w:r>
              <w:rPr>
                <w:rFonts w:hint="eastAsia" w:eastAsia="楷体"/>
                <w:sz w:val="24"/>
              </w:rPr>
              <w:t>考评组对学位论文的选题、研究计划及方案实施的可行性的意见和建议：</w:t>
            </w:r>
          </w:p>
          <w:p>
            <w:pPr>
              <w:spacing w:after="120" w:afterLines="50"/>
              <w:rPr>
                <w:rFonts w:eastAsia="楷体"/>
                <w:sz w:val="24"/>
              </w:rPr>
            </w:pPr>
          </w:p>
          <w:p>
            <w:pPr>
              <w:spacing w:after="120" w:afterLines="50"/>
              <w:rPr>
                <w:rFonts w:eastAsia="楷体"/>
                <w:sz w:val="24"/>
              </w:rPr>
            </w:pPr>
          </w:p>
          <w:p>
            <w:pPr>
              <w:rPr>
                <w:rFonts w:eastAsia="楷体"/>
                <w:sz w:val="24"/>
              </w:rPr>
            </w:pPr>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341" w:hRule="atLeast"/>
          <w:jc w:val="center"/>
        </w:trPr>
        <w:tc>
          <w:tcPr>
            <w:tcW w:w="9622" w:type="dxa"/>
            <w:gridSpan w:val="4"/>
            <w:tcBorders>
              <w:top w:val="nil"/>
              <w:bottom w:val="single" w:color="auto" w:sz="6" w:space="0"/>
            </w:tcBorders>
            <w:vAlign w:val="center"/>
          </w:tcPr>
          <w:p>
            <w:pPr>
              <w:tabs>
                <w:tab w:val="left" w:pos="3840"/>
                <w:tab w:val="left" w:pos="8015"/>
              </w:tabs>
              <w:spacing w:after="240" w:afterLines="100"/>
              <w:ind w:firstLine="2400" w:firstLineChars="1000"/>
              <w:rPr>
                <w:sz w:val="24"/>
              </w:rPr>
            </w:pPr>
            <w:r>
              <w:rPr>
                <w:rFonts w:hint="eastAsia"/>
                <w:sz w:val="24"/>
              </w:rPr>
              <w:t xml:space="preserve">考评组签名： </w:t>
            </w:r>
            <w:r>
              <w:rPr>
                <w:sz w:val="24"/>
              </w:rPr>
              <w:t xml:space="preserve">                  </w:t>
            </w:r>
          </w:p>
          <w:p>
            <w:pPr>
              <w:tabs>
                <w:tab w:val="left" w:pos="3840"/>
                <w:tab w:val="left" w:pos="8015"/>
              </w:tabs>
              <w:jc w:val="right"/>
              <w:rPr>
                <w:rFonts w:eastAsia="楷体"/>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1984" w:hRule="atLeast"/>
          <w:jc w:val="center"/>
        </w:trPr>
        <w:tc>
          <w:tcPr>
            <w:tcW w:w="9622" w:type="dxa"/>
            <w:gridSpan w:val="4"/>
            <w:tcBorders>
              <w:bottom w:val="nil"/>
            </w:tcBorders>
          </w:tcPr>
          <w:p>
            <w:pPr>
              <w:rPr>
                <w:b/>
                <w:sz w:val="24"/>
              </w:rPr>
            </w:pPr>
            <w:r>
              <w:rPr>
                <w:rFonts w:hint="eastAsia"/>
                <w:b/>
                <w:sz w:val="24"/>
              </w:rPr>
              <w:t>3.学院意见：</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Ex>
        <w:trPr>
          <w:cantSplit/>
          <w:trHeight w:val="20" w:hRule="atLeast"/>
          <w:jc w:val="center"/>
        </w:trPr>
        <w:tc>
          <w:tcPr>
            <w:tcW w:w="9622" w:type="dxa"/>
            <w:gridSpan w:val="4"/>
            <w:tcBorders>
              <w:top w:val="nil"/>
            </w:tcBorders>
          </w:tcPr>
          <w:p>
            <w:pPr>
              <w:tabs>
                <w:tab w:val="left" w:pos="3780"/>
                <w:tab w:val="left" w:pos="7530"/>
              </w:tabs>
              <w:ind w:firstLine="2400" w:firstLineChars="1000"/>
              <w:rPr>
                <w:b/>
                <w:sz w:val="24"/>
              </w:rPr>
            </w:pPr>
            <w:r>
              <w:rPr>
                <w:rFonts w:hint="eastAsia"/>
                <w:sz w:val="24"/>
              </w:rPr>
              <w:t>负责人签名：</w:t>
            </w:r>
            <w:r>
              <w:rPr>
                <w:sz w:val="24"/>
              </w:rPr>
              <w:tab/>
            </w:r>
            <w:r>
              <w:rPr>
                <w:rFonts w:hint="eastAsia"/>
                <w:sz w:val="24"/>
              </w:rPr>
              <w:t xml:space="preserve">年 </w:t>
            </w:r>
            <w:r>
              <w:rPr>
                <w:sz w:val="24"/>
              </w:rPr>
              <w:t xml:space="preserve"> </w:t>
            </w:r>
            <w:r>
              <w:rPr>
                <w:rFonts w:hint="eastAsia"/>
                <w:sz w:val="24"/>
              </w:rPr>
              <w:t xml:space="preserve"> </w:t>
            </w:r>
            <w:r>
              <w:rPr>
                <w:sz w:val="24"/>
              </w:rPr>
              <w:t xml:space="preserve"> </w:t>
            </w:r>
            <w:r>
              <w:rPr>
                <w:rFonts w:hint="eastAsia"/>
                <w:sz w:val="24"/>
              </w:rPr>
              <w:t xml:space="preserve"> 月 </w:t>
            </w:r>
            <w:r>
              <w:rPr>
                <w:sz w:val="24"/>
              </w:rPr>
              <w:t xml:space="preserve"> </w:t>
            </w:r>
            <w:r>
              <w:rPr>
                <w:rFonts w:hint="eastAsia"/>
                <w:sz w:val="24"/>
              </w:rPr>
              <w:t xml:space="preserve">   日</w:t>
            </w:r>
          </w:p>
        </w:tc>
      </w:tr>
    </w:tbl>
    <w:p/>
    <w:p/>
    <w:p>
      <w:pPr>
        <w:pStyle w:val="21"/>
        <w:ind w:left="720" w:hanging="720"/>
      </w:pPr>
      <w:r>
        <w:fldChar w:fldCharType="begin"/>
      </w:r>
      <w:r>
        <w:instrText xml:space="preserve"> ADDIN EN.REFLIST </w:instrText>
      </w:r>
      <w:r>
        <w:fldChar w:fldCharType="separate"/>
      </w:r>
      <w:r>
        <w:t>[1]</w:t>
      </w:r>
      <w:r>
        <w:tab/>
      </w:r>
      <w:r>
        <w:t>Taerwe L, Matthys S. Fib model code for concrete structures 2010 [Z]. Ernst &amp; Sohn, Wiley. 2013</w:t>
      </w:r>
    </w:p>
    <w:p>
      <w:pPr>
        <w:pStyle w:val="21"/>
        <w:ind w:left="720" w:hanging="720"/>
      </w:pPr>
      <w:r>
        <w:t>[2]</w:t>
      </w:r>
      <w:r>
        <w:tab/>
      </w:r>
      <w:r>
        <w:t>Salas R M, Schokker A J, West J S, et al. Corrosion risk of bonded, post-tensioned concrete elements [J]. PCI journal, 2008, 53(1): 89.</w:t>
      </w:r>
    </w:p>
    <w:p>
      <w:pPr>
        <w:pStyle w:val="21"/>
        <w:ind w:left="720" w:hanging="720"/>
        <w:rPr>
          <w:rFonts w:hint="eastAsia"/>
        </w:rPr>
      </w:pPr>
      <w:r>
        <w:rPr>
          <w:rFonts w:hint="eastAsia"/>
        </w:rPr>
        <w:t>[3]</w:t>
      </w:r>
      <w:r>
        <w:rPr>
          <w:rFonts w:hint="eastAsia"/>
        </w:rPr>
        <w:tab/>
      </w:r>
      <w:r>
        <w:rPr>
          <w:rFonts w:hint="eastAsia"/>
        </w:rPr>
        <w:t>李富民, 邓天慈, 王江浩, et al. 预应力混凝土结构耐久性研究综述 [J]. 建筑科学与工程学报, 2015, v.32;No.113(02): 1-20.</w:t>
      </w:r>
    </w:p>
    <w:p>
      <w:pPr>
        <w:pStyle w:val="21"/>
        <w:ind w:left="720" w:hanging="720"/>
        <w:rPr>
          <w:rFonts w:hint="eastAsia"/>
        </w:rPr>
      </w:pPr>
      <w:r>
        <w:rPr>
          <w:rFonts w:hint="eastAsia"/>
        </w:rPr>
        <w:t>[4]</w:t>
      </w:r>
      <w:r>
        <w:rPr>
          <w:rFonts w:hint="eastAsia"/>
        </w:rPr>
        <w:tab/>
      </w:r>
      <w:r>
        <w:rPr>
          <w:rFonts w:hint="eastAsia"/>
        </w:rPr>
        <w:t>卫军, 张萌, 董荣珍, et al. 重载铁路桥梁服役性能评估 [J]. 华中科技大学学报(自然科学版), 2012, v.40;No.354(12): 103-6.</w:t>
      </w:r>
    </w:p>
    <w:p>
      <w:pPr>
        <w:pStyle w:val="21"/>
        <w:ind w:left="720" w:hanging="720"/>
        <w:rPr>
          <w:rFonts w:hint="eastAsia"/>
        </w:rPr>
      </w:pPr>
      <w:r>
        <w:rPr>
          <w:rFonts w:hint="eastAsia"/>
        </w:rPr>
        <w:t>[5]</w:t>
      </w:r>
      <w:r>
        <w:rPr>
          <w:rFonts w:hint="eastAsia"/>
        </w:rPr>
        <w:tab/>
      </w:r>
      <w:r>
        <w:rPr>
          <w:rFonts w:hint="eastAsia"/>
        </w:rPr>
        <w:t>牛荻涛, 孙丛涛. 混凝土碳化与氯离子侵蚀共同作用研究 [J]. 硅酸盐学报, 2013, v.41;No.293(08): 1094-9.</w:t>
      </w:r>
    </w:p>
    <w:p>
      <w:pPr>
        <w:pStyle w:val="21"/>
        <w:ind w:left="720" w:hanging="720"/>
      </w:pPr>
      <w:r>
        <w:t>[6]</w:t>
      </w:r>
      <w:r>
        <w:tab/>
      </w:r>
      <w:r>
        <w:t>Elsener B. Electrical isolation as enhanced protection for posttensioning tendons in concrete structures (PL 3) [J]. NDT assessment and new systems in prestressed concrete structures, 2004.</w:t>
      </w:r>
    </w:p>
    <w:p>
      <w:pPr>
        <w:pStyle w:val="21"/>
        <w:ind w:left="720" w:hanging="720"/>
      </w:pPr>
      <w:r>
        <w:t>[7]</w:t>
      </w:r>
      <w:r>
        <w:tab/>
      </w:r>
      <w:r>
        <w:t>Della Vedova M, Evangelista L. Protection against corrosion and monitoring of posttensioning tendons in prestressed concrete railway bridges in Italy [J]. NDT assessment and new systems in prestressed concrete structures, 2004.</w:t>
      </w:r>
    </w:p>
    <w:p>
      <w:pPr>
        <w:pStyle w:val="21"/>
        <w:ind w:left="720" w:hanging="720"/>
      </w:pPr>
      <w:r>
        <w:t>[8]</w:t>
      </w:r>
      <w:r>
        <w:tab/>
      </w:r>
      <w:r>
        <w:t>Elsener B. Experience with electrically isolated tendons in Switzerland [J]. NDT assessment and new systems in prestressed concrete structures, 2004.</w:t>
      </w:r>
    </w:p>
    <w:p>
      <w:pPr>
        <w:pStyle w:val="21"/>
        <w:ind w:left="720" w:hanging="720"/>
        <w:rPr>
          <w:rFonts w:hint="eastAsia"/>
        </w:rPr>
      </w:pPr>
      <w:r>
        <w:rPr>
          <w:rFonts w:hint="eastAsia"/>
        </w:rPr>
        <w:t>[9]</w:t>
      </w:r>
      <w:r>
        <w:rPr>
          <w:rFonts w:hint="eastAsia"/>
        </w:rPr>
        <w:tab/>
      </w:r>
      <w:r>
        <w:rPr>
          <w:rFonts w:hint="eastAsia"/>
        </w:rPr>
        <w:t>朱星, 朱万旭, 周红梅. 新型高性能混凝土复合锚垫板的性能研究 [J]. 混凝土与水泥制品, 2011, (8): 35-7.</w:t>
      </w:r>
    </w:p>
    <w:p>
      <w:pPr>
        <w:pStyle w:val="21"/>
        <w:ind w:left="720" w:hanging="720"/>
        <w:rPr>
          <w:rFonts w:hint="eastAsia"/>
        </w:rPr>
      </w:pPr>
      <w:r>
        <w:rPr>
          <w:rFonts w:hint="eastAsia"/>
        </w:rPr>
        <w:t>[10]</w:t>
      </w:r>
      <w:r>
        <w:rPr>
          <w:rFonts w:hint="eastAsia"/>
        </w:rPr>
        <w:tab/>
      </w:r>
      <w:r>
        <w:rPr>
          <w:rFonts w:hint="eastAsia"/>
        </w:rPr>
        <w:t>刘平伟. 30 米 T 梁后张预应力耐久性监测系统试验研究 [D]; 广西工学院, 2011.</w:t>
      </w:r>
    </w:p>
    <w:p>
      <w:pPr>
        <w:pStyle w:val="21"/>
        <w:ind w:left="720" w:hanging="720"/>
        <w:rPr>
          <w:rFonts w:hint="eastAsia"/>
        </w:rPr>
      </w:pPr>
      <w:r>
        <w:rPr>
          <w:rFonts w:hint="eastAsia"/>
        </w:rPr>
        <w:t>[11]</w:t>
      </w:r>
      <w:r>
        <w:rPr>
          <w:rFonts w:hint="eastAsia"/>
        </w:rPr>
        <w:tab/>
      </w:r>
      <w:r>
        <w:rPr>
          <w:rFonts w:hint="eastAsia"/>
        </w:rPr>
        <w:t>朱星. 电绝缘后张法预应力筋的健康监测研究 [D]; 广西工学院, 2012.</w:t>
      </w:r>
    </w:p>
    <w:p>
      <w:pPr>
        <w:pStyle w:val="21"/>
        <w:ind w:left="720" w:hanging="720"/>
      </w:pPr>
      <w:r>
        <w:t>[12]</w:t>
      </w:r>
      <w:r>
        <w:tab/>
      </w:r>
      <w:r>
        <w:t>Della Vedova M, Elsener B. Enhanced durability, quality control and monitoring of electrically isolated tendons; proceedings of the Proc 2nd International fib congress, F, 2006 [C].</w:t>
      </w:r>
    </w:p>
    <w:p>
      <w:pPr>
        <w:pStyle w:val="21"/>
        <w:ind w:left="720" w:hanging="720"/>
      </w:pPr>
      <w:r>
        <w:t>[13]</w:t>
      </w:r>
      <w:r>
        <w:tab/>
      </w:r>
      <w:r>
        <w:t>Schupack M, Suarez M G. Electrically isolated reinforcing tendon assembly and method [Z]. Google Patents. 1982</w:t>
      </w:r>
    </w:p>
    <w:p>
      <w:pPr>
        <w:pStyle w:val="21"/>
        <w:ind w:left="720" w:hanging="720"/>
      </w:pPr>
      <w:r>
        <w:t>[14]</w:t>
      </w:r>
      <w:r>
        <w:tab/>
      </w:r>
      <w:r>
        <w:t>du Beton F I. Corrugated Plastic Ducts for internal bonded post-tensioning [J]. Bulletin, (7).</w:t>
      </w:r>
    </w:p>
    <w:p>
      <w:pPr>
        <w:pStyle w:val="21"/>
        <w:ind w:left="720" w:hanging="720"/>
      </w:pPr>
      <w:r>
        <w:t>[15]</w:t>
      </w:r>
      <w:r>
        <w:tab/>
      </w:r>
      <w:r>
        <w:t>du béton F. Durability of Post-tensioning Tendons: Recommendation [M]. International Federation for Structural Concrete (fib), 2006.</w:t>
      </w:r>
    </w:p>
    <w:p>
      <w:pPr>
        <w:pStyle w:val="21"/>
        <w:ind w:left="720" w:hanging="720"/>
        <w:rPr>
          <w:rFonts w:hint="eastAsia"/>
        </w:rPr>
      </w:pPr>
      <w:r>
        <w:rPr>
          <w:rFonts w:hint="eastAsia"/>
        </w:rPr>
        <w:t>[16]</w:t>
      </w:r>
      <w:r>
        <w:rPr>
          <w:rFonts w:hint="eastAsia"/>
        </w:rPr>
        <w:tab/>
      </w:r>
      <w:r>
        <w:rPr>
          <w:rFonts w:hint="eastAsia"/>
        </w:rPr>
        <w:t>曹雯, 宋倩文, 申巍, et al. 环氧/纸复合材料直流耐压寿命模型的估计方法 [J]. 电工技术学报, 2019, 34(18): 3750-8.</w:t>
      </w:r>
    </w:p>
    <w:p>
      <w:pPr>
        <w:pStyle w:val="21"/>
        <w:ind w:left="720" w:hanging="720"/>
      </w:pPr>
      <w:r>
        <w:t>[17]</w:t>
      </w:r>
      <w:r>
        <w:tab/>
      </w:r>
      <w:r>
        <w:t>Della Vedova M, Elsener B, Evangelista L. Corrosion protection and monitoring of electrically isolated post-tensioning tendons; proceedings of the Schriftenreihe der Technischen Universität Wien, Proc Third European Conference on Structural Control, F, 2004 [C].</w:t>
      </w:r>
    </w:p>
    <w:p>
      <w:pPr>
        <w:pStyle w:val="21"/>
        <w:ind w:left="720" w:hanging="720"/>
      </w:pPr>
      <w:r>
        <w:t>[18]</w:t>
      </w:r>
      <w:r>
        <w:tab/>
      </w:r>
      <w:r>
        <w:t>Hartz-Ing. U. Anwendung von ETAG 013: Spannverfahren für das Vorspannen von Tragwerken (Post-tensioning kits for prestressing of structures). Ein Erfahrungsbericht [J]. Dibt Mitteilungen, 2005, 36(6): 182–7.</w:t>
      </w:r>
    </w:p>
    <w:p>
      <w:pPr>
        <w:pStyle w:val="21"/>
        <w:ind w:left="720" w:hanging="720"/>
      </w:pPr>
      <w:r>
        <w:t>[19]</w:t>
      </w:r>
      <w:r>
        <w:tab/>
      </w:r>
      <w:r>
        <w:t>Elsener B. Monitoring of electrically isolated post-tensioning tendons [J]. Tailor made, 2008.</w:t>
      </w:r>
    </w:p>
    <w:p>
      <w:r>
        <w:fldChar w:fldCharType="end"/>
      </w:r>
    </w:p>
    <w:sectPr>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CIDFont+F5">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20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fe0wef8dwvxkezwxnparp1p5a0wtfwexte&quot;&gt;My EndNote Library for opening report and review&lt;record-ids&gt;&lt;item&gt;296&lt;/item&gt;&lt;item&gt;298&lt;/item&gt;&lt;item&gt;299&lt;/item&gt;&lt;item&gt;300&lt;/item&gt;&lt;item&gt;301&lt;/item&gt;&lt;item&gt;303&lt;/item&gt;&lt;item&gt;305&lt;/item&gt;&lt;item&gt;307&lt;/item&gt;&lt;item&gt;310&lt;/item&gt;&lt;item&gt;314&lt;/item&gt;&lt;item&gt;315&lt;/item&gt;&lt;item&gt;318&lt;/item&gt;&lt;item&gt;319&lt;/item&gt;&lt;item&gt;320&lt;/item&gt;&lt;item&gt;321&lt;/item&gt;&lt;item&gt;330&lt;/item&gt;&lt;item&gt;333&lt;/item&gt;&lt;item&gt;346&lt;/item&gt;&lt;/record-ids&gt;&lt;/item&gt;&lt;/Libraries&gt;"/>
  </w:docVars>
  <w:rsids>
    <w:rsidRoot w:val="0061785C"/>
    <w:rsid w:val="000131C1"/>
    <w:rsid w:val="000259E3"/>
    <w:rsid w:val="000267D9"/>
    <w:rsid w:val="00033EAD"/>
    <w:rsid w:val="00043F12"/>
    <w:rsid w:val="00046988"/>
    <w:rsid w:val="00046C20"/>
    <w:rsid w:val="00061A60"/>
    <w:rsid w:val="00062E78"/>
    <w:rsid w:val="000659C5"/>
    <w:rsid w:val="000660E3"/>
    <w:rsid w:val="00074788"/>
    <w:rsid w:val="00074E6D"/>
    <w:rsid w:val="0007715C"/>
    <w:rsid w:val="00077E5F"/>
    <w:rsid w:val="000800A0"/>
    <w:rsid w:val="00097970"/>
    <w:rsid w:val="000A3903"/>
    <w:rsid w:val="000A4F7E"/>
    <w:rsid w:val="000B0544"/>
    <w:rsid w:val="000B1198"/>
    <w:rsid w:val="000B5C39"/>
    <w:rsid w:val="000E03E1"/>
    <w:rsid w:val="000E0BEE"/>
    <w:rsid w:val="000E50C0"/>
    <w:rsid w:val="000F2CF2"/>
    <w:rsid w:val="00101433"/>
    <w:rsid w:val="00103A6F"/>
    <w:rsid w:val="00120300"/>
    <w:rsid w:val="00120CC5"/>
    <w:rsid w:val="00124E53"/>
    <w:rsid w:val="00125C2C"/>
    <w:rsid w:val="00140748"/>
    <w:rsid w:val="001516FD"/>
    <w:rsid w:val="00157F21"/>
    <w:rsid w:val="00161F09"/>
    <w:rsid w:val="00165AFE"/>
    <w:rsid w:val="0016675F"/>
    <w:rsid w:val="00173FA1"/>
    <w:rsid w:val="00176BC9"/>
    <w:rsid w:val="00186AD4"/>
    <w:rsid w:val="00187345"/>
    <w:rsid w:val="001907BA"/>
    <w:rsid w:val="001A2323"/>
    <w:rsid w:val="001B6EFE"/>
    <w:rsid w:val="001B71DF"/>
    <w:rsid w:val="001B778D"/>
    <w:rsid w:val="001C09F5"/>
    <w:rsid w:val="001C22BD"/>
    <w:rsid w:val="001C44D9"/>
    <w:rsid w:val="001F2124"/>
    <w:rsid w:val="001F49E5"/>
    <w:rsid w:val="001F77F1"/>
    <w:rsid w:val="00202864"/>
    <w:rsid w:val="00202F58"/>
    <w:rsid w:val="002035C1"/>
    <w:rsid w:val="002072C2"/>
    <w:rsid w:val="002073EF"/>
    <w:rsid w:val="00214373"/>
    <w:rsid w:val="00214542"/>
    <w:rsid w:val="00217D21"/>
    <w:rsid w:val="0022000B"/>
    <w:rsid w:val="00225E6D"/>
    <w:rsid w:val="0022679A"/>
    <w:rsid w:val="002314CE"/>
    <w:rsid w:val="00231FBC"/>
    <w:rsid w:val="00235201"/>
    <w:rsid w:val="00245D8F"/>
    <w:rsid w:val="0025478A"/>
    <w:rsid w:val="00254B13"/>
    <w:rsid w:val="00263ADD"/>
    <w:rsid w:val="00264199"/>
    <w:rsid w:val="00281FA0"/>
    <w:rsid w:val="0028784C"/>
    <w:rsid w:val="002A31A2"/>
    <w:rsid w:val="002B11A6"/>
    <w:rsid w:val="002B754E"/>
    <w:rsid w:val="002D3F66"/>
    <w:rsid w:val="002E7052"/>
    <w:rsid w:val="002F0047"/>
    <w:rsid w:val="00300E85"/>
    <w:rsid w:val="00302A0E"/>
    <w:rsid w:val="003043D4"/>
    <w:rsid w:val="00305041"/>
    <w:rsid w:val="00312AC1"/>
    <w:rsid w:val="003265B3"/>
    <w:rsid w:val="00336490"/>
    <w:rsid w:val="00342D13"/>
    <w:rsid w:val="0034557B"/>
    <w:rsid w:val="00345584"/>
    <w:rsid w:val="0035005F"/>
    <w:rsid w:val="00351C2F"/>
    <w:rsid w:val="003521CF"/>
    <w:rsid w:val="00356DCC"/>
    <w:rsid w:val="00363BC2"/>
    <w:rsid w:val="00364223"/>
    <w:rsid w:val="00364FB1"/>
    <w:rsid w:val="0037215A"/>
    <w:rsid w:val="00372E94"/>
    <w:rsid w:val="003762EA"/>
    <w:rsid w:val="00386FA3"/>
    <w:rsid w:val="0039453C"/>
    <w:rsid w:val="003A22F0"/>
    <w:rsid w:val="003B3B53"/>
    <w:rsid w:val="003C0971"/>
    <w:rsid w:val="003E47EE"/>
    <w:rsid w:val="003E4CCD"/>
    <w:rsid w:val="003F0FEF"/>
    <w:rsid w:val="003F3367"/>
    <w:rsid w:val="003F7D0F"/>
    <w:rsid w:val="0040560D"/>
    <w:rsid w:val="0040763F"/>
    <w:rsid w:val="00417390"/>
    <w:rsid w:val="004306D6"/>
    <w:rsid w:val="004316F4"/>
    <w:rsid w:val="00431915"/>
    <w:rsid w:val="00436096"/>
    <w:rsid w:val="00444572"/>
    <w:rsid w:val="00446549"/>
    <w:rsid w:val="004566AF"/>
    <w:rsid w:val="00457F23"/>
    <w:rsid w:val="00464F3E"/>
    <w:rsid w:val="004706C2"/>
    <w:rsid w:val="00471956"/>
    <w:rsid w:val="0047396B"/>
    <w:rsid w:val="004763FB"/>
    <w:rsid w:val="004854BA"/>
    <w:rsid w:val="00490E65"/>
    <w:rsid w:val="004A05D8"/>
    <w:rsid w:val="004A0D59"/>
    <w:rsid w:val="004B0AE4"/>
    <w:rsid w:val="004B2BFD"/>
    <w:rsid w:val="004C1483"/>
    <w:rsid w:val="004E7812"/>
    <w:rsid w:val="004E7C1C"/>
    <w:rsid w:val="004F2454"/>
    <w:rsid w:val="00505507"/>
    <w:rsid w:val="0050587B"/>
    <w:rsid w:val="005160DE"/>
    <w:rsid w:val="00523C7C"/>
    <w:rsid w:val="005345BF"/>
    <w:rsid w:val="00535D2F"/>
    <w:rsid w:val="00542ABD"/>
    <w:rsid w:val="00543BAB"/>
    <w:rsid w:val="0056095C"/>
    <w:rsid w:val="00562FAA"/>
    <w:rsid w:val="00573E33"/>
    <w:rsid w:val="00577861"/>
    <w:rsid w:val="00582AB2"/>
    <w:rsid w:val="00590898"/>
    <w:rsid w:val="00592502"/>
    <w:rsid w:val="005A4051"/>
    <w:rsid w:val="005B19C5"/>
    <w:rsid w:val="005B71A4"/>
    <w:rsid w:val="005D3C4E"/>
    <w:rsid w:val="005D4069"/>
    <w:rsid w:val="005D4938"/>
    <w:rsid w:val="005D535D"/>
    <w:rsid w:val="005D6E18"/>
    <w:rsid w:val="005E3110"/>
    <w:rsid w:val="005E4228"/>
    <w:rsid w:val="005E6F6C"/>
    <w:rsid w:val="005F0444"/>
    <w:rsid w:val="005F5F15"/>
    <w:rsid w:val="005F7A99"/>
    <w:rsid w:val="006056A8"/>
    <w:rsid w:val="00607ACB"/>
    <w:rsid w:val="00616725"/>
    <w:rsid w:val="00617143"/>
    <w:rsid w:val="0061785C"/>
    <w:rsid w:val="00624BA7"/>
    <w:rsid w:val="00626BBF"/>
    <w:rsid w:val="00631781"/>
    <w:rsid w:val="00633C3A"/>
    <w:rsid w:val="00635AC6"/>
    <w:rsid w:val="00636593"/>
    <w:rsid w:val="00650AF5"/>
    <w:rsid w:val="00656EB9"/>
    <w:rsid w:val="0066081D"/>
    <w:rsid w:val="00660F89"/>
    <w:rsid w:val="006619E2"/>
    <w:rsid w:val="00663D23"/>
    <w:rsid w:val="006652DA"/>
    <w:rsid w:val="00667108"/>
    <w:rsid w:val="0067028B"/>
    <w:rsid w:val="00680668"/>
    <w:rsid w:val="00691846"/>
    <w:rsid w:val="00696C53"/>
    <w:rsid w:val="006A1188"/>
    <w:rsid w:val="006A188E"/>
    <w:rsid w:val="006B1967"/>
    <w:rsid w:val="006C363F"/>
    <w:rsid w:val="006E1303"/>
    <w:rsid w:val="006E7145"/>
    <w:rsid w:val="006E7A5F"/>
    <w:rsid w:val="006F04D5"/>
    <w:rsid w:val="00700932"/>
    <w:rsid w:val="00703787"/>
    <w:rsid w:val="00703795"/>
    <w:rsid w:val="00703EF5"/>
    <w:rsid w:val="00715C5D"/>
    <w:rsid w:val="00723B35"/>
    <w:rsid w:val="007256DE"/>
    <w:rsid w:val="00731A94"/>
    <w:rsid w:val="0074042F"/>
    <w:rsid w:val="007438C4"/>
    <w:rsid w:val="00746523"/>
    <w:rsid w:val="00746F77"/>
    <w:rsid w:val="00756F05"/>
    <w:rsid w:val="0076141F"/>
    <w:rsid w:val="0077584D"/>
    <w:rsid w:val="00776C77"/>
    <w:rsid w:val="00791629"/>
    <w:rsid w:val="00791A82"/>
    <w:rsid w:val="00795C88"/>
    <w:rsid w:val="00797741"/>
    <w:rsid w:val="007A4B9E"/>
    <w:rsid w:val="007A7DB0"/>
    <w:rsid w:val="007B1856"/>
    <w:rsid w:val="007B5F20"/>
    <w:rsid w:val="007C1EB8"/>
    <w:rsid w:val="007D57B7"/>
    <w:rsid w:val="007E48C1"/>
    <w:rsid w:val="007F16B3"/>
    <w:rsid w:val="007F57E2"/>
    <w:rsid w:val="008026BF"/>
    <w:rsid w:val="008036F2"/>
    <w:rsid w:val="00807BD0"/>
    <w:rsid w:val="0081016F"/>
    <w:rsid w:val="008149A8"/>
    <w:rsid w:val="00820CD7"/>
    <w:rsid w:val="008557F3"/>
    <w:rsid w:val="00860A3C"/>
    <w:rsid w:val="0086179A"/>
    <w:rsid w:val="008650D9"/>
    <w:rsid w:val="00873E58"/>
    <w:rsid w:val="00887E9F"/>
    <w:rsid w:val="0089078C"/>
    <w:rsid w:val="00896740"/>
    <w:rsid w:val="00897808"/>
    <w:rsid w:val="008A1C6B"/>
    <w:rsid w:val="008B01C0"/>
    <w:rsid w:val="008B7067"/>
    <w:rsid w:val="008B78EC"/>
    <w:rsid w:val="008C2DFA"/>
    <w:rsid w:val="008C4843"/>
    <w:rsid w:val="008C5423"/>
    <w:rsid w:val="008C5D08"/>
    <w:rsid w:val="008D150D"/>
    <w:rsid w:val="008D5BB4"/>
    <w:rsid w:val="008E71D8"/>
    <w:rsid w:val="008F1DC0"/>
    <w:rsid w:val="008F51C1"/>
    <w:rsid w:val="008F677D"/>
    <w:rsid w:val="008F7D8A"/>
    <w:rsid w:val="00900962"/>
    <w:rsid w:val="00901D7F"/>
    <w:rsid w:val="00906AA8"/>
    <w:rsid w:val="009265DC"/>
    <w:rsid w:val="00931C1F"/>
    <w:rsid w:val="00941809"/>
    <w:rsid w:val="00943983"/>
    <w:rsid w:val="00953766"/>
    <w:rsid w:val="0097033B"/>
    <w:rsid w:val="00974845"/>
    <w:rsid w:val="00974DD8"/>
    <w:rsid w:val="00982597"/>
    <w:rsid w:val="0099444A"/>
    <w:rsid w:val="009A29A6"/>
    <w:rsid w:val="009C2067"/>
    <w:rsid w:val="009C33B1"/>
    <w:rsid w:val="009C5160"/>
    <w:rsid w:val="009D3865"/>
    <w:rsid w:val="009E1CA4"/>
    <w:rsid w:val="009E2106"/>
    <w:rsid w:val="009E3C7A"/>
    <w:rsid w:val="00A03FED"/>
    <w:rsid w:val="00A05A97"/>
    <w:rsid w:val="00A07A3A"/>
    <w:rsid w:val="00A12151"/>
    <w:rsid w:val="00A224DA"/>
    <w:rsid w:val="00A302B4"/>
    <w:rsid w:val="00A333A2"/>
    <w:rsid w:val="00A40BE8"/>
    <w:rsid w:val="00A43FBF"/>
    <w:rsid w:val="00A45F38"/>
    <w:rsid w:val="00A53C63"/>
    <w:rsid w:val="00A54C15"/>
    <w:rsid w:val="00A54EA6"/>
    <w:rsid w:val="00A5554E"/>
    <w:rsid w:val="00A61A12"/>
    <w:rsid w:val="00A71230"/>
    <w:rsid w:val="00A74692"/>
    <w:rsid w:val="00A92EF0"/>
    <w:rsid w:val="00A9360F"/>
    <w:rsid w:val="00A962CC"/>
    <w:rsid w:val="00A97CCF"/>
    <w:rsid w:val="00AA22E5"/>
    <w:rsid w:val="00AA406A"/>
    <w:rsid w:val="00AB1FE9"/>
    <w:rsid w:val="00AB4426"/>
    <w:rsid w:val="00AD1786"/>
    <w:rsid w:val="00AE136E"/>
    <w:rsid w:val="00B0023B"/>
    <w:rsid w:val="00B008EE"/>
    <w:rsid w:val="00B03AF4"/>
    <w:rsid w:val="00B04BDF"/>
    <w:rsid w:val="00B1645F"/>
    <w:rsid w:val="00B208E8"/>
    <w:rsid w:val="00B2113F"/>
    <w:rsid w:val="00B21585"/>
    <w:rsid w:val="00B26231"/>
    <w:rsid w:val="00B368FD"/>
    <w:rsid w:val="00B4017D"/>
    <w:rsid w:val="00B40635"/>
    <w:rsid w:val="00B45881"/>
    <w:rsid w:val="00B55D51"/>
    <w:rsid w:val="00B5626F"/>
    <w:rsid w:val="00B76776"/>
    <w:rsid w:val="00B84AC6"/>
    <w:rsid w:val="00B84BF0"/>
    <w:rsid w:val="00B86241"/>
    <w:rsid w:val="00B95BF0"/>
    <w:rsid w:val="00BA0358"/>
    <w:rsid w:val="00BC780E"/>
    <w:rsid w:val="00BD4943"/>
    <w:rsid w:val="00BE53F6"/>
    <w:rsid w:val="00BE5D41"/>
    <w:rsid w:val="00BF6FED"/>
    <w:rsid w:val="00C06007"/>
    <w:rsid w:val="00C115E5"/>
    <w:rsid w:val="00C225E8"/>
    <w:rsid w:val="00C335E0"/>
    <w:rsid w:val="00C34DB3"/>
    <w:rsid w:val="00C41065"/>
    <w:rsid w:val="00C4152A"/>
    <w:rsid w:val="00C41ED3"/>
    <w:rsid w:val="00C446DA"/>
    <w:rsid w:val="00C47D27"/>
    <w:rsid w:val="00C5583B"/>
    <w:rsid w:val="00C62224"/>
    <w:rsid w:val="00C67E09"/>
    <w:rsid w:val="00C80BC9"/>
    <w:rsid w:val="00C813C1"/>
    <w:rsid w:val="00C863B1"/>
    <w:rsid w:val="00C87118"/>
    <w:rsid w:val="00C87E48"/>
    <w:rsid w:val="00C90B66"/>
    <w:rsid w:val="00C94ED2"/>
    <w:rsid w:val="00CA27B9"/>
    <w:rsid w:val="00CA7B53"/>
    <w:rsid w:val="00CC58CB"/>
    <w:rsid w:val="00CC5CCE"/>
    <w:rsid w:val="00CD3CD9"/>
    <w:rsid w:val="00CD4C73"/>
    <w:rsid w:val="00CD50A1"/>
    <w:rsid w:val="00CE0BEB"/>
    <w:rsid w:val="00CE213A"/>
    <w:rsid w:val="00CE76BF"/>
    <w:rsid w:val="00CF0F28"/>
    <w:rsid w:val="00CF12C1"/>
    <w:rsid w:val="00CF7BD5"/>
    <w:rsid w:val="00D003EB"/>
    <w:rsid w:val="00D035FD"/>
    <w:rsid w:val="00D076E1"/>
    <w:rsid w:val="00D16146"/>
    <w:rsid w:val="00D16224"/>
    <w:rsid w:val="00D25A6D"/>
    <w:rsid w:val="00D33E01"/>
    <w:rsid w:val="00D34F5E"/>
    <w:rsid w:val="00D36EE2"/>
    <w:rsid w:val="00D37238"/>
    <w:rsid w:val="00D657BE"/>
    <w:rsid w:val="00D75508"/>
    <w:rsid w:val="00D75AA9"/>
    <w:rsid w:val="00D76FE6"/>
    <w:rsid w:val="00D77239"/>
    <w:rsid w:val="00D77E6C"/>
    <w:rsid w:val="00D910E1"/>
    <w:rsid w:val="00D95243"/>
    <w:rsid w:val="00DA1718"/>
    <w:rsid w:val="00DA22C9"/>
    <w:rsid w:val="00DA5D75"/>
    <w:rsid w:val="00DA6A29"/>
    <w:rsid w:val="00DC4CEF"/>
    <w:rsid w:val="00DC6140"/>
    <w:rsid w:val="00DC6C66"/>
    <w:rsid w:val="00DD0BF2"/>
    <w:rsid w:val="00DD5B09"/>
    <w:rsid w:val="00DD7D24"/>
    <w:rsid w:val="00DE53D0"/>
    <w:rsid w:val="00DF1331"/>
    <w:rsid w:val="00E144DA"/>
    <w:rsid w:val="00E17743"/>
    <w:rsid w:val="00E20778"/>
    <w:rsid w:val="00E21E55"/>
    <w:rsid w:val="00E24C48"/>
    <w:rsid w:val="00E27FA5"/>
    <w:rsid w:val="00E34155"/>
    <w:rsid w:val="00E47771"/>
    <w:rsid w:val="00E577A8"/>
    <w:rsid w:val="00E723A0"/>
    <w:rsid w:val="00E72FDC"/>
    <w:rsid w:val="00E75B46"/>
    <w:rsid w:val="00E84DAA"/>
    <w:rsid w:val="00E85A38"/>
    <w:rsid w:val="00E9329C"/>
    <w:rsid w:val="00E94D7A"/>
    <w:rsid w:val="00EA2CCB"/>
    <w:rsid w:val="00EA2D2A"/>
    <w:rsid w:val="00EB0CB8"/>
    <w:rsid w:val="00EB4C13"/>
    <w:rsid w:val="00EB6DAB"/>
    <w:rsid w:val="00EC0774"/>
    <w:rsid w:val="00EC2916"/>
    <w:rsid w:val="00EC2943"/>
    <w:rsid w:val="00EC2B06"/>
    <w:rsid w:val="00EC2BBB"/>
    <w:rsid w:val="00EC7B34"/>
    <w:rsid w:val="00EE4682"/>
    <w:rsid w:val="00EE6EEC"/>
    <w:rsid w:val="00EF520B"/>
    <w:rsid w:val="00EF582C"/>
    <w:rsid w:val="00EF65F0"/>
    <w:rsid w:val="00F13E5B"/>
    <w:rsid w:val="00F21275"/>
    <w:rsid w:val="00F402D8"/>
    <w:rsid w:val="00F420C7"/>
    <w:rsid w:val="00F469FC"/>
    <w:rsid w:val="00F5224E"/>
    <w:rsid w:val="00F55AFB"/>
    <w:rsid w:val="00F55C7A"/>
    <w:rsid w:val="00F561CC"/>
    <w:rsid w:val="00F57EA8"/>
    <w:rsid w:val="00F75082"/>
    <w:rsid w:val="00F816FC"/>
    <w:rsid w:val="00F82951"/>
    <w:rsid w:val="00F844F2"/>
    <w:rsid w:val="00F8506B"/>
    <w:rsid w:val="00F85D6F"/>
    <w:rsid w:val="00F939D1"/>
    <w:rsid w:val="00F95FF0"/>
    <w:rsid w:val="00FA2A80"/>
    <w:rsid w:val="00FB01DF"/>
    <w:rsid w:val="00FB3262"/>
    <w:rsid w:val="00FB3AC3"/>
    <w:rsid w:val="00FC0044"/>
    <w:rsid w:val="00FC2E3D"/>
    <w:rsid w:val="00FC7B1B"/>
    <w:rsid w:val="00FD63A8"/>
    <w:rsid w:val="00FD715C"/>
    <w:rsid w:val="00FD7C2F"/>
    <w:rsid w:val="00FE10B1"/>
    <w:rsid w:val="00FE3128"/>
    <w:rsid w:val="00FE3309"/>
    <w:rsid w:val="00FE37DD"/>
    <w:rsid w:val="00FF118F"/>
    <w:rsid w:val="00FF2FB4"/>
    <w:rsid w:val="00FF5395"/>
    <w:rsid w:val="037875AD"/>
    <w:rsid w:val="0590136D"/>
    <w:rsid w:val="069C2A0B"/>
    <w:rsid w:val="07387A87"/>
    <w:rsid w:val="07645D25"/>
    <w:rsid w:val="09F505D2"/>
    <w:rsid w:val="0E3E4FDA"/>
    <w:rsid w:val="10FC71D1"/>
    <w:rsid w:val="168676E1"/>
    <w:rsid w:val="177F6817"/>
    <w:rsid w:val="197B7ACF"/>
    <w:rsid w:val="1A5A6824"/>
    <w:rsid w:val="1C921A9B"/>
    <w:rsid w:val="1FD316F0"/>
    <w:rsid w:val="20921B48"/>
    <w:rsid w:val="22577133"/>
    <w:rsid w:val="231D70BA"/>
    <w:rsid w:val="2840573F"/>
    <w:rsid w:val="2CB04188"/>
    <w:rsid w:val="2CED348D"/>
    <w:rsid w:val="2D6432F9"/>
    <w:rsid w:val="2D6840CC"/>
    <w:rsid w:val="30367067"/>
    <w:rsid w:val="31C213B4"/>
    <w:rsid w:val="32034E77"/>
    <w:rsid w:val="33DC1C16"/>
    <w:rsid w:val="35691A19"/>
    <w:rsid w:val="35D6409B"/>
    <w:rsid w:val="36657975"/>
    <w:rsid w:val="36C61447"/>
    <w:rsid w:val="381A025B"/>
    <w:rsid w:val="3A282F8D"/>
    <w:rsid w:val="3AA07E29"/>
    <w:rsid w:val="3BBC5063"/>
    <w:rsid w:val="3C795418"/>
    <w:rsid w:val="3D3B5D36"/>
    <w:rsid w:val="3E8D0ECA"/>
    <w:rsid w:val="3F745485"/>
    <w:rsid w:val="40555E22"/>
    <w:rsid w:val="41757D89"/>
    <w:rsid w:val="433A74F2"/>
    <w:rsid w:val="44C738A9"/>
    <w:rsid w:val="45633E01"/>
    <w:rsid w:val="45BA0242"/>
    <w:rsid w:val="4B8040C7"/>
    <w:rsid w:val="4C142079"/>
    <w:rsid w:val="4CF37266"/>
    <w:rsid w:val="4DBA4D12"/>
    <w:rsid w:val="4E392D0E"/>
    <w:rsid w:val="4F606BEE"/>
    <w:rsid w:val="50B671CD"/>
    <w:rsid w:val="51B65DE1"/>
    <w:rsid w:val="52042C9C"/>
    <w:rsid w:val="535B1921"/>
    <w:rsid w:val="556B1345"/>
    <w:rsid w:val="55F2691B"/>
    <w:rsid w:val="56AC000A"/>
    <w:rsid w:val="56BF2818"/>
    <w:rsid w:val="585D1975"/>
    <w:rsid w:val="58DA1018"/>
    <w:rsid w:val="5A674BED"/>
    <w:rsid w:val="5AAB4996"/>
    <w:rsid w:val="5C1D6EA2"/>
    <w:rsid w:val="5EFC3B84"/>
    <w:rsid w:val="6094246D"/>
    <w:rsid w:val="610A3D93"/>
    <w:rsid w:val="618F1FA7"/>
    <w:rsid w:val="61E21898"/>
    <w:rsid w:val="65B927C1"/>
    <w:rsid w:val="670C4A69"/>
    <w:rsid w:val="69A867CD"/>
    <w:rsid w:val="6AAD6A7A"/>
    <w:rsid w:val="6AB922A5"/>
    <w:rsid w:val="6AC15F3B"/>
    <w:rsid w:val="723A5B15"/>
    <w:rsid w:val="72E9174B"/>
    <w:rsid w:val="741612CE"/>
    <w:rsid w:val="75CB59F2"/>
    <w:rsid w:val="771D779F"/>
    <w:rsid w:val="77E97A8D"/>
    <w:rsid w:val="780D7CF8"/>
    <w:rsid w:val="7B21396A"/>
    <w:rsid w:val="7D2970B9"/>
    <w:rsid w:val="7DB12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4"/>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0"/>
    <w:rPr>
      <w:b/>
      <w:bCs/>
    </w:rPr>
  </w:style>
  <w:style w:type="character" w:styleId="10">
    <w:name w:val="Hyperlink"/>
    <w:basedOn w:val="8"/>
    <w:uiPriority w:val="0"/>
    <w:rPr>
      <w:color w:val="0563C1" w:themeColor="hyperlink"/>
      <w:u w:val="single"/>
      <w14:textFill>
        <w14:solidFill>
          <w14:schemeClr w14:val="hlink"/>
        </w14:solidFill>
      </w14:textFill>
    </w:rPr>
  </w:style>
  <w:style w:type="character" w:customStyle="1" w:styleId="11">
    <w:name w:val="页眉 字符"/>
    <w:link w:val="4"/>
    <w:qFormat/>
    <w:uiPriority w:val="0"/>
    <w:rPr>
      <w:kern w:val="2"/>
      <w:sz w:val="18"/>
      <w:szCs w:val="18"/>
    </w:rPr>
  </w:style>
  <w:style w:type="character" w:customStyle="1" w:styleId="12">
    <w:name w:val="页脚 字符"/>
    <w:link w:val="3"/>
    <w:uiPriority w:val="99"/>
    <w:rPr>
      <w:kern w:val="2"/>
      <w:sz w:val="18"/>
      <w:szCs w:val="18"/>
    </w:rPr>
  </w:style>
  <w:style w:type="character" w:customStyle="1" w:styleId="13">
    <w:name w:val="批注框文本 字符"/>
    <w:basedOn w:val="8"/>
    <w:link w:val="2"/>
    <w:uiPriority w:val="0"/>
    <w:rPr>
      <w:kern w:val="2"/>
      <w:sz w:val="18"/>
      <w:szCs w:val="18"/>
    </w:rPr>
  </w:style>
  <w:style w:type="character" w:customStyle="1" w:styleId="14">
    <w:name w:val="副标题 字符"/>
    <w:basedOn w:val="8"/>
    <w:link w:val="5"/>
    <w:uiPriority w:val="0"/>
    <w:rPr>
      <w:rFonts w:asciiTheme="majorHAnsi" w:hAnsiTheme="majorHAnsi" w:cstheme="majorBidi"/>
      <w:b/>
      <w:bCs/>
      <w:kern w:val="28"/>
      <w:sz w:val="32"/>
      <w:szCs w:val="32"/>
    </w:rPr>
  </w:style>
  <w:style w:type="paragraph" w:styleId="15">
    <w:name w:val="List Paragraph"/>
    <w:basedOn w:val="1"/>
    <w:qFormat/>
    <w:uiPriority w:val="34"/>
    <w:pPr>
      <w:ind w:firstLine="420" w:firstLineChars="200"/>
    </w:pPr>
  </w:style>
  <w:style w:type="character" w:customStyle="1" w:styleId="16">
    <w:name w:val="fontstyle01"/>
    <w:basedOn w:val="8"/>
    <w:uiPriority w:val="0"/>
    <w:rPr>
      <w:rFonts w:hint="default" w:ascii="CIDFont+F5" w:hAnsi="CIDFont+F5"/>
      <w:color w:val="000000"/>
      <w:sz w:val="24"/>
      <w:szCs w:val="24"/>
    </w:rPr>
  </w:style>
  <w:style w:type="character" w:customStyle="1" w:styleId="17">
    <w:name w:val="fontstyle11"/>
    <w:basedOn w:val="8"/>
    <w:uiPriority w:val="0"/>
    <w:rPr>
      <w:rFonts w:hint="default" w:ascii="CIDFont+F5" w:hAnsi="CIDFont+F5"/>
      <w:color w:val="000000"/>
      <w:sz w:val="24"/>
      <w:szCs w:val="24"/>
    </w:rPr>
  </w:style>
  <w:style w:type="character" w:customStyle="1" w:styleId="18">
    <w:name w:val="fontstyle21"/>
    <w:basedOn w:val="8"/>
    <w:uiPriority w:val="0"/>
    <w:rPr>
      <w:rFonts w:hint="default" w:ascii="TimesNewRomanPSMT" w:hAnsi="TimesNewRomanPSMT"/>
      <w:color w:val="000000"/>
      <w:sz w:val="22"/>
      <w:szCs w:val="22"/>
    </w:rPr>
  </w:style>
  <w:style w:type="paragraph" w:customStyle="1" w:styleId="19">
    <w:name w:val="EndNote Bibliography Title"/>
    <w:basedOn w:val="1"/>
    <w:link w:val="20"/>
    <w:qFormat/>
    <w:uiPriority w:val="0"/>
    <w:pPr>
      <w:jc w:val="center"/>
    </w:pPr>
    <w:rPr>
      <w:sz w:val="20"/>
    </w:rPr>
  </w:style>
  <w:style w:type="character" w:customStyle="1" w:styleId="20">
    <w:name w:val="EndNote Bibliography Title 字符"/>
    <w:basedOn w:val="8"/>
    <w:link w:val="19"/>
    <w:qFormat/>
    <w:uiPriority w:val="0"/>
    <w:rPr>
      <w:kern w:val="2"/>
      <w:szCs w:val="24"/>
    </w:rPr>
  </w:style>
  <w:style w:type="paragraph" w:customStyle="1" w:styleId="21">
    <w:name w:val="EndNote Bibliography"/>
    <w:basedOn w:val="1"/>
    <w:link w:val="22"/>
    <w:uiPriority w:val="0"/>
    <w:rPr>
      <w:sz w:val="20"/>
    </w:rPr>
  </w:style>
  <w:style w:type="character" w:customStyle="1" w:styleId="22">
    <w:name w:val="EndNote Bibliography 字符"/>
    <w:basedOn w:val="8"/>
    <w:link w:val="21"/>
    <w:qFormat/>
    <w:uiPriority w:val="0"/>
    <w:rPr>
      <w:kern w:val="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zuo/AppData/Roaming/Tencent/Users/357305915/QQ/WinTemp/RichOle/NP%2560%255b%257bL8YPVBIZM%257bT_TZ12_V.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A2325E-3C3A-4872-A9F0-3B8D1D0D5D92}">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12</Pages>
  <Words>2811</Words>
  <Characters>16029</Characters>
  <Lines>133</Lines>
  <Paragraphs>37</Paragraphs>
  <TotalTime>6</TotalTime>
  <ScaleCrop>false</ScaleCrop>
  <LinksUpToDate>false</LinksUpToDate>
  <CharactersWithSpaces>18803</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2021-12-21T12:28:00Z</dcterms:created>
  <dc:creator>pmx</dc:creator>
  <cp:lastModifiedBy>100009894</cp:lastModifiedBy>
  <cp:lastPrinted>2019-03-11T07:02:00Z</cp:lastPrinted>
  <dcterms:modified xsi:type="dcterms:W3CDTF">2021-12-22T06:20:12Z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