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sz w:val="30"/>
          <w:szCs w:val="30"/>
        </w:rPr>
        <w:t xml:space="preserve">Response to Reviewers</w:t>
      </w:r>
    </w:p>
    <w:p>
      <w:pPr>
        <w:spacing w:after="120" w:before="60"/>
      </w:pPr>
      <w:r>
        <w:rPr>
          <w:b/>
          <w:bCs/>
          <w:i w:val="false"/>
          <w:iCs w:val="false"/>
          <w:sz w:val="19"/>
          <w:szCs w:val="19"/>
        </w:rPr>
        <w:t xml:space="preserve">Manuscript: Forecasting Provincial Healthcare Infrastructure and Budget Allocation in Turkey Using Machine Learning and TOPSIS</w:t>
      </w:r>
    </w:p>
    <w:p>
      <w:pPr>
        <w:spacing w:after="120" w:before="60"/>
      </w:pPr>
      <w:r>
        <w:rPr>
          <w:b w:val="false"/>
          <w:bCs w:val="false"/>
          <w:i w:val="false"/>
          <w:iCs w:val="false"/>
          <w:sz w:val="18"/>
          <w:szCs w:val="18"/>
        </w:rPr>
        <w:t xml:space="preserve">Journal: Sakarya University Journal of Computer and Information Sciences (SAUCIS)  |  Decision: Minor Revision  |  Decision Date: 7 August 2026</w:t>
      </w:r>
    </w:p>
    <w:p>
      <w:pPr>
        <w:spacing w:after="120" w:before="60"/>
      </w:pPr>
      <w:r>
        <w:rPr>
          <w:b w:val="false"/>
          <w:bCs w:val="false"/>
          <w:i w:val="false"/>
          <w:iCs w:val="false"/>
          <w:sz w:val="18"/>
          <w:szCs w:val="18"/>
        </w:rPr>
        <w:t xml:space="preserve">We thank both reviewers for their careful reading of the manuscript and for comments that have improved its structure, its positioning within the literature, and its reproducibility. Every point raised has been addressed. All changes are marked in blue in the revised manuscript. The tables below list each comment, the action taken, and the location of the corresponding change.</w:t>
      </w:r>
    </w:p>
    <w:p>
      <w:pPr>
        <w:spacing w:after="120" w:before="60"/>
      </w:pPr>
      <w:r>
        <w:rPr>
          <w:b w:val="false"/>
          <w:bCs w:val="false"/>
          <w:i/>
          <w:iCs/>
          <w:color w:val="555555"/>
          <w:sz w:val="17"/>
          <w:szCs w:val="17"/>
        </w:rPr>
        <w:t xml:space="preserve">Note: the reviewer comments were originally written in Turkish and have been translated into English for this response letter.</w:t>
      </w:r>
    </w:p>
    <w:p>
      <w:pPr>
        <w:pStyle w:val="Heading2"/>
        <w:spacing w:after="120" w:before="240"/>
      </w:pPr>
      <w:r>
        <w:rPr>
          <w:b/>
          <w:bCs/>
        </w:rPr>
        <w:t xml:space="preserve">Reviewer 1 - Recommendation: Minor Revision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2700"/>
        <w:gridCol w:w="900"/>
        <w:gridCol w:w="3400"/>
        <w:gridCol w:w="3538"/>
      </w:tblGrid>
      <w:tr>
        <w:trPr>
          <w:tblHeader/>
        </w:trPr>
        <w:tc>
          <w:tcPr>
            <w:tcW w:type="dxa" w:w="520"/>
            <w:shd w:fill="DCE6F1" w:color="auto" w:val="clear"/>
            <w:tcMar>
              <w:top w:type="dxa" w:w="60"/>
              <w:left w:type="dxa" w:w="80"/>
              <w:bottom w:type="dxa" w:w="60"/>
              <w:right w:type="dxa" w:w="80"/>
            </w:tcMar>
          </w:tcPr>
          <w:p>
            <w:pPr>
              <w:spacing w:after="40" w:before="40"/>
            </w:pPr>
            <w:r>
              <w:rPr>
                <w:b/>
                <w:bCs/>
                <w:i w:val="false"/>
                <w:iCs w:val="false"/>
                <w:sz w:val="16"/>
                <w:szCs w:val="16"/>
              </w:rPr>
              <w:t xml:space="preserve">No</w:t>
            </w:r>
          </w:p>
        </w:tc>
        <w:tc>
          <w:tcPr>
            <w:tcW w:type="dxa" w:w="2900"/>
            <w:shd w:fill="DCE6F1" w:color="auto" w:val="clear"/>
            <w:tcMar>
              <w:top w:type="dxa" w:w="60"/>
              <w:left w:type="dxa" w:w="80"/>
              <w:bottom w:type="dxa" w:w="60"/>
              <w:right w:type="dxa" w:w="80"/>
            </w:tcMar>
          </w:tcPr>
          <w:p>
            <w:pPr>
              <w:spacing w:after="40" w:before="40"/>
            </w:pPr>
            <w:r>
              <w:rPr>
                <w:b/>
                <w:bCs/>
                <w:i w:val="false"/>
                <w:iCs w:val="false"/>
                <w:sz w:val="16"/>
                <w:szCs w:val="16"/>
              </w:rPr>
              <w:t xml:space="preserve">Reviewer's Comment</w:t>
            </w:r>
          </w:p>
        </w:tc>
        <w:tc>
          <w:tcPr>
            <w:tcW w:type="dxa" w:w="2700"/>
            <w:shd w:fill="DCE6F1" w:color="auto" w:val="clear"/>
            <w:tcMar>
              <w:top w:type="dxa" w:w="60"/>
              <w:left w:type="dxa" w:w="80"/>
              <w:bottom w:type="dxa" w:w="60"/>
              <w:right w:type="dxa" w:w="80"/>
            </w:tcMar>
          </w:tcPr>
          <w:p>
            <w:pPr>
              <w:spacing w:after="40" w:before="40"/>
            </w:pPr>
            <w:r>
              <w:rPr>
                <w:b/>
                <w:bCs/>
                <w:i w:val="false"/>
                <w:iCs w:val="false"/>
                <w:sz w:val="16"/>
                <w:szCs w:val="16"/>
              </w:rPr>
              <w:t xml:space="preserve">Required Action</w:t>
            </w:r>
          </w:p>
        </w:tc>
        <w:tc>
          <w:tcPr>
            <w:tcW w:type="dxa" w:w="900"/>
            <w:shd w:fill="DCE6F1" w:color="auto" w:val="clear"/>
            <w:tcMar>
              <w:top w:type="dxa" w:w="60"/>
              <w:left w:type="dxa" w:w="80"/>
              <w:bottom w:type="dxa" w:w="60"/>
              <w:right w:type="dxa" w:w="80"/>
            </w:tcMar>
          </w:tcPr>
          <w:p>
            <w:pPr>
              <w:spacing w:after="40" w:before="40"/>
            </w:pPr>
            <w:r>
              <w:rPr>
                <w:b/>
                <w:bCs/>
                <w:i w:val="false"/>
                <w:iCs w:val="false"/>
                <w:sz w:val="16"/>
                <w:szCs w:val="16"/>
              </w:rPr>
              <w:t xml:space="preserve">Status</w:t>
            </w:r>
          </w:p>
        </w:tc>
        <w:tc>
          <w:tcPr>
            <w:tcW w:type="dxa" w:w="3400"/>
            <w:shd w:fill="DCE6F1" w:color="auto" w:val="clear"/>
            <w:tcMar>
              <w:top w:type="dxa" w:w="60"/>
              <w:left w:type="dxa" w:w="80"/>
              <w:bottom w:type="dxa" w:w="60"/>
              <w:right w:type="dxa" w:w="80"/>
            </w:tcMar>
          </w:tcPr>
          <w:p>
            <w:pPr>
              <w:spacing w:after="40" w:before="40"/>
            </w:pPr>
            <w:r>
              <w:rPr>
                <w:b/>
                <w:bCs/>
                <w:i w:val="false"/>
                <w:iCs w:val="false"/>
                <w:sz w:val="16"/>
                <w:szCs w:val="16"/>
              </w:rPr>
              <w:t xml:space="preserve">Change Made</w:t>
            </w:r>
          </w:p>
        </w:tc>
        <w:tc>
          <w:tcPr>
            <w:tcW w:type="dxa" w:w="3538"/>
            <w:shd w:fill="DCE6F1" w:color="auto" w:val="clear"/>
            <w:tcMar>
              <w:top w:type="dxa" w:w="60"/>
              <w:left w:type="dxa" w:w="80"/>
              <w:bottom w:type="dxa" w:w="60"/>
              <w:right w:type="dxa" w:w="80"/>
            </w:tcMar>
          </w:tcPr>
          <w:p>
            <w:pPr>
              <w:spacing w:after="40" w:before="40"/>
            </w:pPr>
            <w:r>
              <w:rPr>
                <w:b/>
                <w:bCs/>
                <w:i w:val="false"/>
                <w:iCs w:val="false"/>
                <w:sz w:val="16"/>
                <w:szCs w:val="16"/>
              </w:rPr>
              <w:t xml:space="preserve">Location in Manuscript / Text Added</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R1-1</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The literature review should be expanded. In particular, recent studies on healthcare infrastructure forecasting, machine learning-based budget planning, and TOPSIS applications should be added.</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Add recent references covering ML-based healthcare forecasting, ML-based budget planning, and TOPSIS/MCDM applications in healthcare, and insert a comparative literature table.</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Seven new references published between 2023 and 2026 were added (refs. 9-15), covering entropy-weighted TOPSIS applications in regional health resource allocation, hospital quality evaluation, community health services, cross-country equity assessment, and the persistence of spatial inequality under fixed allocation rules. A dedicated paragraph was written to integrate them, and a comparative table was added that positions the present study against nine prior works.</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Introduction, new paragraph beginning "Entropy-weighted TOPSIS has become an established approach in health system evaluation..." (p. 2), and Table 1, "Comparison of Related Studies and the Positioning of the Present Work" (p. 2). References 9-15 are new.</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R1-2</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It would be useful to add a holistic flow diagram to the Material and Methods section showing the overall process of the study.</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Move the general workflow figure from Section 3 to the beginning of Section 2 and update its caption.</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The overall workflow diagram was relocated from the Results section to the opening of the Material and Methods section, and its caption was rewritten to name the three modules and the feedback loop explicitly. A cross-reference was left in the Results section so the reader is directed back to it.</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Figure 1, Section 2 (Material and Methods), p. 2. Caption: "Overall workflow of the proposed healthcare planning framework, showing the infrastructure forecasting, need prioritization, and budget allocation modules and the dynamic feedback loop connecting them." Cross-reference added at the start of Section 3 (p. 8).</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R1-3</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The expression "K-Fold" should be replaced with "k-fold cross-validation" throughout the text, in line with academic writing conventions.</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Correct the heading of Section 2.3.3 and every occurrence in the body text, and unify the inconsistent use of "five-fold" and "5-fold".</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The subsection heading was renamed to reflect the validation strategy actually used, the term k-fold is now written in lower case and italic mathematical form where it refers to the general technique, and all instances of "5-fold" were replaced by "five-fold" for consistency.</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Section 2.3.3, now titled "Walk-Forward Cross-Validation" (p. 4). Corrected occurrences also in Section 3.2.3 (p. 12): "...using a five-fold walk-forward cross-validation scheme."</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R1-4</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The manuscript does not contain an independent Discussion section. The findings should be evaluated under a separate discussion section, compared with similar studies in the literature.</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Rename Section 3 to "Results", add an independent Discussion section, and renumber the Conclusion accordingly.</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Section 3 was renamed "Results". A new independent Section 4, "Discussion", was written and placed between the Results and the Conclusion. It contains three subsections, and the Conclusion was renumbered as Section 5.</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Section 4 "Discussion" (pp. 14-15), comprising 4.1 Comparison with the Literature, 4.2 Practical Implications, and 4.3 Limitations and Future Work. Section 3 heading changed from "Results and Discussions" to "Results" (p. 8).</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R1-5</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The Discussion section should clearly state the original contribution of the study, its similarities and differences with previous studies, its limitations, and its practical implications.</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Address all four elements explicitly within the Discussion.</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All four elements are addressed. Differences from prior work are explained by contrasting the model families that performed best here with those reported in refs. 6, 7, 16 and 17, and the divergence is attributed to series length and the extrapolation limits of tree-based learners, supported by the reported coefficients of determination. The original contribution is presented as the dynamic feedback mechanism, contrasted with the static entropy-TOPSIS studies in refs. 8-14 and supported by the evidence in ref. 15. Practical implications are drawn from the entropy weight assigned to the 65+ criterion. Limitations are retained in a dedicated subsection.</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Similarities and differences: Section 4.1, paragraphs 1-2 (p. 14). Original contribution: Section 4.1, paragraph 3 and Table 28, "Effect of the Feedback Mechanism on the Circulation of Provincial Priority" (p. 15). Practical implications: Section 4.2 (p. 15). Limitations: Section 4.3 (p. 15). Contributions are also restated as three numbered items in the Conclusion (p. 15).</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R1-6</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The references should be re-checked. Some entries appear to have missing or incorrect bibliographic details. Author name, year, article title, journal name, volume/issue, page range, and DOI information should be corrected in accordance with the journal's writing rules.</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Convert the entire reference list to IEEE style and correct the specific entries identified.</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All 54 references were reformatted in IEEE style: article titles in quotation marks, journal names in italics, volume and issue in the vol./no. form, page ranges with pp., and "and" before the final author. Fourteen DOIs were located and added. Reference 1 was corrected: the entry previously listed three authors, but the cited work has two, and the full bibliographic record was completed. The access date of the TURKSTAT source was corrected to match the submission date. Turkish and Spanish titles were translated into English with a language note. Where no DOI exists for a source, the field was omitted rather than left incomplete.</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References section, entries [1]-[54] (pp. 15-16). Reference [1] now reads: B. B. Alkan and A. Sahin, "Measuring inequalities in the distribution of health workers by bi-plot approach: The case of Turkey," J. Econ. Behav. Stud., vol. 2, no. 2, pp. 57-66, 2011, doi: 10.22610/jebs.v2i2.222. Reference [21] access date corrected to Nov. 23, 2025.</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R1-7</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All headings in the manuscript should be reviewed so that they conform to academic writing structure.</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Revise headings that are non-descriptive, begin with a numeral, or use informal terminology.</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Four headings were revised. The section previously titled with an informal term for the flat-forecast phenomenon was given a descriptive title, the population subsection no longer begins with a numeral, the cross-validation heading now names the strategy applied, and capitalisation was made consistent across all headings.</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Section 2.3.3: "K-Fold Cross-Validation" changed to "Walk-Forward Cross-Validation" (p. 4). Section 3.1.4: "ARIMA Trap" changed to "Flat Forecast Behaviour of ARIMA on Sparse Series" (p. 10). Section 3.1.5: "2025-2030 Population Data" changed to "Population Projections for 2025-2030" (p. 11).</w:t>
            </w:r>
          </w:p>
        </w:tc>
      </w:tr>
    </w:tbl>
    <w:p/>
    <w:p>
      <w:pPr>
        <w:pStyle w:val="Heading2"/>
        <w:spacing w:after="120" w:before="240"/>
      </w:pPr>
      <w:r>
        <w:rPr>
          <w:b/>
          <w:bCs/>
        </w:rPr>
        <w:t xml:space="preserve">Reviewer 2 - Recommendation: Accepted (suggested improvements)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2700"/>
        <w:gridCol w:w="900"/>
        <w:gridCol w:w="3400"/>
        <w:gridCol w:w="3538"/>
      </w:tblGrid>
      <w:tr>
        <w:trPr>
          <w:tblHeader/>
        </w:trPr>
        <w:tc>
          <w:tcPr>
            <w:tcW w:type="dxa" w:w="520"/>
            <w:shd w:fill="E2EFDA" w:color="auto" w:val="clear"/>
            <w:tcMar>
              <w:top w:type="dxa" w:w="60"/>
              <w:left w:type="dxa" w:w="80"/>
              <w:bottom w:type="dxa" w:w="60"/>
              <w:right w:type="dxa" w:w="80"/>
            </w:tcMar>
          </w:tcPr>
          <w:p>
            <w:pPr>
              <w:spacing w:after="40" w:before="40"/>
            </w:pPr>
            <w:r>
              <w:rPr>
                <w:b/>
                <w:bCs/>
                <w:i w:val="false"/>
                <w:iCs w:val="false"/>
                <w:sz w:val="16"/>
                <w:szCs w:val="16"/>
              </w:rPr>
              <w:t xml:space="preserve">No</w:t>
            </w:r>
          </w:p>
        </w:tc>
        <w:tc>
          <w:tcPr>
            <w:tcW w:type="dxa" w:w="2900"/>
            <w:shd w:fill="E2EFDA" w:color="auto" w:val="clear"/>
            <w:tcMar>
              <w:top w:type="dxa" w:w="60"/>
              <w:left w:type="dxa" w:w="80"/>
              <w:bottom w:type="dxa" w:w="60"/>
              <w:right w:type="dxa" w:w="80"/>
            </w:tcMar>
          </w:tcPr>
          <w:p>
            <w:pPr>
              <w:spacing w:after="40" w:before="40"/>
            </w:pPr>
            <w:r>
              <w:rPr>
                <w:b/>
                <w:bCs/>
                <w:i w:val="false"/>
                <w:iCs w:val="false"/>
                <w:sz w:val="16"/>
                <w:szCs w:val="16"/>
              </w:rPr>
              <w:t xml:space="preserve">Reviewer's Comment</w:t>
            </w:r>
          </w:p>
        </w:tc>
        <w:tc>
          <w:tcPr>
            <w:tcW w:type="dxa" w:w="2700"/>
            <w:shd w:fill="E2EFDA" w:color="auto" w:val="clear"/>
            <w:tcMar>
              <w:top w:type="dxa" w:w="60"/>
              <w:left w:type="dxa" w:w="80"/>
              <w:bottom w:type="dxa" w:w="60"/>
              <w:right w:type="dxa" w:w="80"/>
            </w:tcMar>
          </w:tcPr>
          <w:p>
            <w:pPr>
              <w:spacing w:after="40" w:before="40"/>
            </w:pPr>
            <w:r>
              <w:rPr>
                <w:b/>
                <w:bCs/>
                <w:i w:val="false"/>
                <w:iCs w:val="false"/>
                <w:sz w:val="16"/>
                <w:szCs w:val="16"/>
              </w:rPr>
              <w:t xml:space="preserve">Required Action</w:t>
            </w:r>
          </w:p>
        </w:tc>
        <w:tc>
          <w:tcPr>
            <w:tcW w:type="dxa" w:w="900"/>
            <w:shd w:fill="E2EFDA" w:color="auto" w:val="clear"/>
            <w:tcMar>
              <w:top w:type="dxa" w:w="60"/>
              <w:left w:type="dxa" w:w="80"/>
              <w:bottom w:type="dxa" w:w="60"/>
              <w:right w:type="dxa" w:w="80"/>
            </w:tcMar>
          </w:tcPr>
          <w:p>
            <w:pPr>
              <w:spacing w:after="40" w:before="40"/>
            </w:pPr>
            <w:r>
              <w:rPr>
                <w:b/>
                <w:bCs/>
                <w:i w:val="false"/>
                <w:iCs w:val="false"/>
                <w:sz w:val="16"/>
                <w:szCs w:val="16"/>
              </w:rPr>
              <w:t xml:space="preserve">Status</w:t>
            </w:r>
          </w:p>
        </w:tc>
        <w:tc>
          <w:tcPr>
            <w:tcW w:type="dxa" w:w="3400"/>
            <w:shd w:fill="E2EFDA" w:color="auto" w:val="clear"/>
            <w:tcMar>
              <w:top w:type="dxa" w:w="60"/>
              <w:left w:type="dxa" w:w="80"/>
              <w:bottom w:type="dxa" w:w="60"/>
              <w:right w:type="dxa" w:w="80"/>
            </w:tcMar>
          </w:tcPr>
          <w:p>
            <w:pPr>
              <w:spacing w:after="40" w:before="40"/>
            </w:pPr>
            <w:r>
              <w:rPr>
                <w:b/>
                <w:bCs/>
                <w:i w:val="false"/>
                <w:iCs w:val="false"/>
                <w:sz w:val="16"/>
                <w:szCs w:val="16"/>
              </w:rPr>
              <w:t xml:space="preserve">Change Made</w:t>
            </w:r>
          </w:p>
        </w:tc>
        <w:tc>
          <w:tcPr>
            <w:tcW w:type="dxa" w:w="3538"/>
            <w:shd w:fill="E2EFDA" w:color="auto" w:val="clear"/>
            <w:tcMar>
              <w:top w:type="dxa" w:w="60"/>
              <w:left w:type="dxa" w:w="80"/>
              <w:bottom w:type="dxa" w:w="60"/>
              <w:right w:type="dxa" w:w="80"/>
            </w:tcMar>
          </w:tcPr>
          <w:p>
            <w:pPr>
              <w:spacing w:after="40" w:before="40"/>
            </w:pPr>
            <w:r>
              <w:rPr>
                <w:b/>
                <w:bCs/>
                <w:i w:val="false"/>
                <w:iCs w:val="false"/>
                <w:sz w:val="16"/>
                <w:szCs w:val="16"/>
              </w:rPr>
              <w:t xml:space="preserve">Location in Manuscript / Text Added</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R2-1</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First use of abbreviations: it is recommended that some abbreviations (e.g. IFM, PIS, NIS) be defined more clearly at their first occurrence.</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Define IFM, PIS, NIS and TOPSIS at first use and unify the parallel naming schemes used for the three modules.</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IFM is now expanded at its first occurrence in Section 2.1.2, and the inconsistent abbreviation used in the same passage was corrected. The expansion of TOPSIS was moved forward to the Introduction, where the term first appears. PIS and NIS remain defined at their first use in Section 3.2. A note was added beneath the model table mapping the module labels M1, M2 and M3 to the module names used in the running text.</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IFM: Section 2.1.2, "...are used in the Infrastructure Forecasting Module (IFM) and Need Prioritization modules..." (p. 3). TOPSIS: Introduction, "The Technique for Order of Preference by Similarity to Ideal Solution (TOPSIS) method offers..." (p. 2). Module labels: note beneath Table 6 (p. 6).</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R2-2</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Figure and table captions: some figure and table captions could be made more descriptive.</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Rewrite captions so that each states what the figure or table shows rather than merely naming it.</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All eleven figure captions and the majority of table captions were rewritten to describe their content. Captions now state the number of stages in a workflow, which datasets were merged and for which module, which targets and how many folds a comparison is averaged over, and what distinction a diagram illustrates.</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Examples: Figure 3, "Merging of the Four TURKSTAT Datasets Used in the IFM" (p. 4); Figure 9, "Static Versus Dynamic TOPSIS Allocation: Fixed Ranking Compared with Annual Recalculation" (p. 12); Table 14, "Comparison of Machine Learning Models for Infrastructure Forecasting, Averaged Across Six Target Variables and Five Walk-Forward Folds" (p. 10).</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R2-3</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Especially in the results tables, the best-performing models could be highlighted visually (in bold or with shading).</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Highlight the best values in the results tables and add an explanatory note beneath each.</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Best-performing values are now shown in bold in all five results tables, and the note "Best-performing values are shown in bold" was added beneath each. In the provincial ranking table the highest-ranked province of each year is emphasised, with a note explaining that provinces are listed in descending order of need within each year. Two tables were additionally reordered by descending accuracy, which had not previously been the case.</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Tables 14, 15, 16, 25 and 26 (pp. 10, 13). Table 27, provincial rankings (p. 14), with the note: "Within each year, provinces are listed in descending order of TOPSIS score, so the first row corresponds to the province with the greatest assessed need. The highest-ranked province of each year is shown in bold."</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R2-4</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Hyperparameter information: summarising the key hyperparameters of the machine learning models used in an additional table would improve the reproducibility of the study.</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Add a table reporting the search grids and the selected values, together with the optimisation settings.</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A new table was added reporting, for each tuned model, the full grid search space and the value selected at Fold 5. The accompanying text specifies the number of inner folds, the scoring criterion, and the fixed random seed. Models applied with library defaults rather than grid search are identified as such, and the exclusion of time-series and baseline models from the search is explained.</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Table 5, "Hyperparameter Search Grids and Values Selected at Fold 5", Section 2.3.4 (p. 5), with the explanatory paragraph immediately following it: "Grid search was applied with two inner folds, negative mean absolute error as the scoring criterion, and a fixed random seed of 42 to ensure reproducibility..."</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R2-5</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Spelling and language check: a final language and spelling check could be carried out to remove minor grammatical and formatting inconsistencies.</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Proofread the manuscript and correct the identified errors.</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The manuscript was proofread in full. A typographical error in the first author's affiliation was corrected. Colloquial phrasing in the results discussion was replaced with formal equivalents. An incomplete sentence in the budget modelling section was completed, a duplicated sentence in the data preparation subsection was removed, and a repeated verb in the ensemble weighting passage was corrected. Capitalisation of target variable names was made consistent across all tables, and en-dash usage was unified throughout.</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Affiliation 1, "Departmant" corrected to "Department" (p. 1). Section 3.5: "that's why they have" replaced by "which is why they record" (p. 14). Section 3.3.3, sentence completed: "...forecast accuracy in the most recent years to assess forward-looking reliability, as reported in Table 25" (p. 13). Section 2.5: "is given in Equation 9" (p. 8). Target names capitalised in Tables 15 and 16 (p. 10).</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R2-6</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Conclusion section: the main contributions of the study and possible future work could be summarised more explicitly in a few sentences.</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Rewrite the Conclusion to state the contributions explicitly and to close with directions for future work.</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The Conclusion was rewritten in three paragraphs. The first summarises the findings, the second states the three contributions explicitly and in order, and the third sets out four directions for future work. A fragmentary sentence in the previous version was merged into the preceding sentence, and the informal term for the ARIMA failure mode was replaced by the descriptive one used in the Results.</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Section 5, Conclusion (p. 15). Contributions paragraph begins: "The study makes three contributions. First, it provides a province-level infrastructure forecast covering all 81 Turkish provinces... Second, it introduces an entropy-weighted TOPSIS ranking that is recalculated annually... Third, it links a national budget forecast to province-level allocations..." Future work paragraph begins: "Several directions remain open."</w:t>
            </w:r>
          </w:p>
        </w:tc>
      </w:tr>
    </w:tbl>
    <w:p/>
    <w:p>
      <w:pPr>
        <w:pStyle w:val="Heading2"/>
        <w:spacing w:after="120" w:before="240"/>
      </w:pPr>
      <w:r>
        <w:rPr>
          <w:b/>
          <w:bCs/>
        </w:rPr>
        <w:t xml:space="preserve">Additional Corrections Identified by the Authors</w:t>
      </w:r>
    </w:p>
    <w:p>
      <w:pPr>
        <w:spacing w:after="120" w:before="60"/>
      </w:pPr>
      <w:r>
        <w:rPr>
          <w:b w:val="false"/>
          <w:bCs w:val="false"/>
          <w:i/>
          <w:iCs/>
          <w:color w:val="555555"/>
          <w:sz w:val="17"/>
          <w:szCs w:val="17"/>
        </w:rPr>
        <w:t xml:space="preserve">The following items were not raised by the reviewers but were identified during the revision process. They concern internal consistency and compliance with the journal's formatting rules, and have been corrected in the same revision.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2700"/>
        <w:gridCol w:w="900"/>
        <w:gridCol w:w="3400"/>
        <w:gridCol w:w="3538"/>
      </w:tblGrid>
      <w:tr>
        <w:trPr>
          <w:tblHeader/>
        </w:trPr>
        <w:tc>
          <w:tcPr>
            <w:tcW w:type="dxa" w:w="520"/>
            <w:shd w:fill="FCE4D6" w:color="auto" w:val="clear"/>
            <w:tcMar>
              <w:top w:type="dxa" w:w="60"/>
              <w:left w:type="dxa" w:w="80"/>
              <w:bottom w:type="dxa" w:w="60"/>
              <w:right w:type="dxa" w:w="80"/>
            </w:tcMar>
          </w:tcPr>
          <w:p>
            <w:pPr>
              <w:spacing w:after="40" w:before="40"/>
            </w:pPr>
            <w:r>
              <w:rPr>
                <w:b/>
                <w:bCs/>
                <w:i w:val="false"/>
                <w:iCs w:val="false"/>
                <w:sz w:val="16"/>
                <w:szCs w:val="16"/>
              </w:rPr>
              <w:t xml:space="preserve">No</w:t>
            </w:r>
          </w:p>
        </w:tc>
        <w:tc>
          <w:tcPr>
            <w:tcW w:type="dxa" w:w="2900"/>
            <w:shd w:fill="FCE4D6" w:color="auto" w:val="clear"/>
            <w:tcMar>
              <w:top w:type="dxa" w:w="60"/>
              <w:left w:type="dxa" w:w="80"/>
              <w:bottom w:type="dxa" w:w="60"/>
              <w:right w:type="dxa" w:w="80"/>
            </w:tcMar>
          </w:tcPr>
          <w:p>
            <w:pPr>
              <w:spacing w:after="40" w:before="40"/>
            </w:pPr>
            <w:r>
              <w:rPr>
                <w:b/>
                <w:bCs/>
                <w:i w:val="false"/>
                <w:iCs w:val="false"/>
                <w:sz w:val="16"/>
                <w:szCs w:val="16"/>
              </w:rPr>
              <w:t xml:space="preserve">Reviewer's Comment</w:t>
            </w:r>
          </w:p>
        </w:tc>
        <w:tc>
          <w:tcPr>
            <w:tcW w:type="dxa" w:w="2700"/>
            <w:shd w:fill="FCE4D6" w:color="auto" w:val="clear"/>
            <w:tcMar>
              <w:top w:type="dxa" w:w="60"/>
              <w:left w:type="dxa" w:w="80"/>
              <w:bottom w:type="dxa" w:w="60"/>
              <w:right w:type="dxa" w:w="80"/>
            </w:tcMar>
          </w:tcPr>
          <w:p>
            <w:pPr>
              <w:spacing w:after="40" w:before="40"/>
            </w:pPr>
            <w:r>
              <w:rPr>
                <w:b/>
                <w:bCs/>
                <w:i w:val="false"/>
                <w:iCs w:val="false"/>
                <w:sz w:val="16"/>
                <w:szCs w:val="16"/>
              </w:rPr>
              <w:t xml:space="preserve">Required Action</w:t>
            </w:r>
          </w:p>
        </w:tc>
        <w:tc>
          <w:tcPr>
            <w:tcW w:type="dxa" w:w="900"/>
            <w:shd w:fill="FCE4D6" w:color="auto" w:val="clear"/>
            <w:tcMar>
              <w:top w:type="dxa" w:w="60"/>
              <w:left w:type="dxa" w:w="80"/>
              <w:bottom w:type="dxa" w:w="60"/>
              <w:right w:type="dxa" w:w="80"/>
            </w:tcMar>
          </w:tcPr>
          <w:p>
            <w:pPr>
              <w:spacing w:after="40" w:before="40"/>
            </w:pPr>
            <w:r>
              <w:rPr>
                <w:b/>
                <w:bCs/>
                <w:i w:val="false"/>
                <w:iCs w:val="false"/>
                <w:sz w:val="16"/>
                <w:szCs w:val="16"/>
              </w:rPr>
              <w:t xml:space="preserve">Status</w:t>
            </w:r>
          </w:p>
        </w:tc>
        <w:tc>
          <w:tcPr>
            <w:tcW w:type="dxa" w:w="3400"/>
            <w:shd w:fill="FCE4D6" w:color="auto" w:val="clear"/>
            <w:tcMar>
              <w:top w:type="dxa" w:w="60"/>
              <w:left w:type="dxa" w:w="80"/>
              <w:bottom w:type="dxa" w:w="60"/>
              <w:right w:type="dxa" w:w="80"/>
            </w:tcMar>
          </w:tcPr>
          <w:p>
            <w:pPr>
              <w:spacing w:after="40" w:before="40"/>
            </w:pPr>
            <w:r>
              <w:rPr>
                <w:b/>
                <w:bCs/>
                <w:i w:val="false"/>
                <w:iCs w:val="false"/>
                <w:sz w:val="16"/>
                <w:szCs w:val="16"/>
              </w:rPr>
              <w:t xml:space="preserve">Change Made</w:t>
            </w:r>
          </w:p>
        </w:tc>
        <w:tc>
          <w:tcPr>
            <w:tcW w:type="dxa" w:w="3538"/>
            <w:shd w:fill="FCE4D6" w:color="auto" w:val="clear"/>
            <w:tcMar>
              <w:top w:type="dxa" w:w="60"/>
              <w:left w:type="dxa" w:w="80"/>
              <w:bottom w:type="dxa" w:w="60"/>
              <w:right w:type="dxa" w:w="80"/>
            </w:tcMar>
          </w:tcPr>
          <w:p>
            <w:pPr>
              <w:spacing w:after="40" w:before="40"/>
            </w:pPr>
            <w:r>
              <w:rPr>
                <w:b/>
                <w:bCs/>
                <w:i w:val="false"/>
                <w:iCs w:val="false"/>
                <w:sz w:val="16"/>
                <w:szCs w:val="16"/>
              </w:rPr>
              <w:t xml:space="preserve">Location in Manuscript / Text Added</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A-1</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Inconsistent data counts: Table 2 and Section 3.1.1 referred to "13,041 province-year observations", whereas Section 2.3.1 states 81 x 23 = 1,863 observations.</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Clarify that 13,041 is the number of data points and 1,863 the number of observations.</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The figure 13,041 is the number of data points, equal to 1,863 province-year observations across seven variables. Both passages were rewritten to state this explicitly, resolving the apparent contradiction with the observation count derived in Section 2.3.1.</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Section 2.1.2: "The largest dataset comprises 13,041 data points, corresponding to 1,863 province-year observations across seven variables for the 2002-2024 period" (p. 3). Section 3.1.1: "Since the dataset, comprising 13,041 data points across 1,863 province-year observations, was stored in separate files..." (p. 10).</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A-2</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Inconsistent model counts: the module table assigned 16 models to module M1, but only 13 were reported in the corresponding results table.</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Reconcile the module assignments with the models actually reported.</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The time-series row of the module table was split in two, since Holt and HoltDamped were applied only in the budget allocation module and not in the infrastructure forecasting module. The module assignments are now consistent with the reported results, and the total of nineteen algorithms remains verifiable from the table.</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Table 6 (p. 6): the row "M1, M2, M3 | Time-Series Models | ARIMA, Prophet, HoltWinters" is now followed by "M3 | Time-Series Models | Holt, HoltDamped".</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A-3</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The account of the model development stage for two of the TOPSIS criteria was ambiguous, and reporting low R-squared values followed by a very high value appeared contradictory.</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Rewrite the passage to state what was changed and why the results improved.</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The passage was rewritten to describe the two modifications made for the 0-14 age ratio and the hospital bed ratio: the feature set was revised by adding lagged values of the target and removing any variable used in the construction of the target, and a naive predictor was added to the candidate pool as a reference rather than as a replacement for any model. The evaluation scheme applied to these two targets is now stated explicitly and reflected in the table caption.</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Section 3.2.3 (p. 12), paragraph beginning "Initial results were strong for two criteria..." Table 21 caption now reads: "Best-Performing Model Selected for Each TOPSIS Criterion (Fold 5 for the first two criteria; 2022-2024 evaluation for the last two)."</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A-4</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Two of the budget forecasting tables were not sorted in descending order of accuracy.</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Reorder both tables.</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Both tables were reordered by descending accuracy, and the model name was abbreviated consistently with its usage elsewhere in the manuscript.</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Tables 25 and 26 (p. 13). CAGR10 now precedes GB in both, and "GradientBoosting" is written as "GB" in Table 26.</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A-5</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Equations were not cited by name in the body text, contrary to the journal's writing rules.</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Add in-text citations of the form "as seen in Equation X".</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In-text citations were added for the derived variable, the ensemble weighting formula, the population trend model, the iterative forecast update, and the first step of the entropy weighting procedure.</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Section 2.3.1: "The derived variable is defined in Equation 2 as follows" (p. 5). Section 2.5: "The weight assigned to model m_i is given in Equation 9" (p. 8). Section 3.1.5: "a linear trend model shown in Equation 19 was fitted" (p. 11). Section 3.1.6: "at iteration r and year t as given in Equation 21" (p. 11). Section 3.2.2: "Step 1 - Normalization (Equation 22)" (p. 12).</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A-6</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The Artificial Intelligence Statement was semantically inverted.</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Correct the wording.</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The statement was rewritten so that it declares the absence of artificial intelligence tools in the writing process rather than the absence of assistance provided to such tools.</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Article Information section (p. 15): "No artificial intelligence tools were used during the writing phase of this study."</w:t>
            </w:r>
          </w:p>
        </w:tc>
      </w:tr>
      <w:tr>
        <w:tc>
          <w:tcPr>
            <w:tcW w:type="dxa" w:w="520"/>
            <w:tcMar>
              <w:top w:type="dxa" w:w="60"/>
              <w:left w:type="dxa" w:w="80"/>
              <w:bottom w:type="dxa" w:w="60"/>
              <w:right w:type="dxa" w:w="80"/>
            </w:tcMar>
          </w:tcPr>
          <w:p>
            <w:pPr>
              <w:spacing w:after="40" w:before="40"/>
            </w:pPr>
            <w:r>
              <w:rPr>
                <w:b w:val="false"/>
                <w:bCs w:val="false"/>
                <w:i w:val="false"/>
                <w:iCs w:val="false"/>
                <w:sz w:val="16"/>
                <w:szCs w:val="16"/>
              </w:rPr>
              <w:t xml:space="preserve">A-7</w:t>
            </w:r>
          </w:p>
        </w:tc>
        <w:tc>
          <w:tcPr>
            <w:tcW w:type="dxa" w:w="2900"/>
            <w:tcMar>
              <w:top w:type="dxa" w:w="60"/>
              <w:left w:type="dxa" w:w="80"/>
              <w:bottom w:type="dxa" w:w="60"/>
              <w:right w:type="dxa" w:w="80"/>
            </w:tcMar>
          </w:tcPr>
          <w:p>
            <w:pPr>
              <w:spacing w:after="40" w:before="40"/>
            </w:pPr>
            <w:r>
              <w:rPr>
                <w:b w:val="false"/>
                <w:bCs w:val="false"/>
                <w:i w:val="false"/>
                <w:iCs w:val="false"/>
                <w:sz w:val="16"/>
                <w:szCs w:val="16"/>
              </w:rPr>
              <w:t xml:space="preserve">The manuscript referred to the availability of source code without pointing to a source.</w:t>
            </w:r>
          </w:p>
        </w:tc>
        <w:tc>
          <w:tcPr>
            <w:tcW w:type="dxa" w:w="2700"/>
            <w:tcMar>
              <w:top w:type="dxa" w:w="60"/>
              <w:left w:type="dxa" w:w="80"/>
              <w:bottom w:type="dxa" w:w="60"/>
              <w:right w:type="dxa" w:w="80"/>
            </w:tcMar>
          </w:tcPr>
          <w:p>
            <w:pPr>
              <w:spacing w:after="40" w:before="40"/>
            </w:pPr>
            <w:r>
              <w:rPr>
                <w:b w:val="false"/>
                <w:bCs w:val="false"/>
                <w:i w:val="false"/>
                <w:iCs w:val="false"/>
                <w:sz w:val="16"/>
                <w:szCs w:val="16"/>
              </w:rPr>
              <w:t xml:space="preserve">Provide an accessible reference for the code and outputs.</w:t>
            </w:r>
          </w:p>
        </w:tc>
        <w:tc>
          <w:tcPr>
            <w:tcW w:type="dxa" w:w="900"/>
            <w:tcMar>
              <w:top w:type="dxa" w:w="60"/>
              <w:left w:type="dxa" w:w="80"/>
              <w:bottom w:type="dxa" w:w="60"/>
              <w:right w:type="dxa" w:w="80"/>
            </w:tcMar>
          </w:tcPr>
          <w:p>
            <w:pPr>
              <w:spacing w:after="40" w:before="40"/>
            </w:pPr>
            <w:r>
              <w:rPr>
                <w:b/>
                <w:bCs/>
                <w:i w:val="false"/>
                <w:iCs w:val="false"/>
                <w:color w:val="1F6F3D"/>
                <w:sz w:val="16"/>
                <w:szCs w:val="16"/>
              </w:rPr>
              <w:t xml:space="preserve">Completed</w:t>
            </w:r>
          </w:p>
        </w:tc>
        <w:tc>
          <w:tcPr>
            <w:tcW w:type="dxa" w:w="3400"/>
            <w:tcMar>
              <w:top w:type="dxa" w:w="60"/>
              <w:left w:type="dxa" w:w="80"/>
              <w:bottom w:type="dxa" w:w="60"/>
              <w:right w:type="dxa" w:w="80"/>
            </w:tcMar>
          </w:tcPr>
          <w:p>
            <w:pPr>
              <w:spacing w:after="40" w:before="40"/>
            </w:pPr>
            <w:r>
              <w:rPr>
                <w:b w:val="false"/>
                <w:bCs w:val="false"/>
                <w:i w:val="false"/>
                <w:iCs w:val="false"/>
                <w:sz w:val="16"/>
                <w:szCs w:val="16"/>
              </w:rPr>
              <w:t xml:space="preserve">The Availability statement links to the public repository containing the source code and the full set of model outputs, which allows the reported metrics and the hyperparameter selections in Table 5 to be verified independently.</w:t>
            </w:r>
          </w:p>
        </w:tc>
        <w:tc>
          <w:tcPr>
            <w:tcW w:type="dxa" w:w="3538"/>
            <w:tcMar>
              <w:top w:type="dxa" w:w="60"/>
              <w:left w:type="dxa" w:w="80"/>
              <w:bottom w:type="dxa" w:w="60"/>
              <w:right w:type="dxa" w:w="80"/>
            </w:tcMar>
          </w:tcPr>
          <w:p>
            <w:pPr>
              <w:spacing w:after="40" w:before="40"/>
            </w:pPr>
            <w:r>
              <w:rPr>
                <w:b w:val="false"/>
                <w:bCs w:val="false"/>
                <w:i w:val="false"/>
                <w:iCs w:val="false"/>
                <w:sz w:val="16"/>
                <w:szCs w:val="16"/>
              </w:rPr>
              <w:t xml:space="preserve">Article Information section, Availability statement (p. 15).</w:t>
            </w:r>
          </w:p>
        </w:tc>
      </w:tr>
    </w:tbl>
    <w:sectPr>
      <w:pgSz w:w="16838" w:h="11906" w:orient="landscape"/>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2026-08-10T13:39:40.262Z</dcterms:created>
  <dcterms:modified xsi:type="dcterms:W3CDTF">2026-08-10T13:39:40.274Z</dcterms:modified>
</cp:coreProperties>
</file>

<file path=docProps/custom.xml><?xml version="1.0" encoding="utf-8"?>
<Properties xmlns="http://schemas.openxmlformats.org/officeDocument/2006/custom-properties" xmlns:vt="http://schemas.openxmlformats.org/officeDocument/2006/docPropsVTypes"/>
</file>