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CFA0F" w14:textId="77777777" w:rsidR="00BB3985" w:rsidRPr="00BB3985" w:rsidRDefault="00BB3985" w:rsidP="00BB3985">
      <w:r w:rsidRPr="00BB3985">
        <w:t>Araştırmayı tamamladım. İşte ayrıntılı değerlendirmem:</w:t>
      </w:r>
    </w:p>
    <w:p w14:paraId="2921EFC9" w14:textId="77777777" w:rsidR="00BB3985" w:rsidRPr="00BB3985" w:rsidRDefault="00BB3985" w:rsidP="00BB3985">
      <w:r w:rsidRPr="00BB3985">
        <w:pict w14:anchorId="4AAAC761">
          <v:rect id="_x0000_i1115" style="width:0;height:1.5pt" o:hralign="center" o:hrstd="t" o:hr="t" fillcolor="#a0a0a0" stroked="f"/>
        </w:pict>
      </w:r>
    </w:p>
    <w:p w14:paraId="15F8BFCC" w14:textId="77777777" w:rsidR="00BB3985" w:rsidRPr="00BB3985" w:rsidRDefault="00BB3985" w:rsidP="00BB3985">
      <w:pPr>
        <w:rPr>
          <w:b/>
          <w:bCs/>
        </w:rPr>
      </w:pPr>
      <w:r w:rsidRPr="00BB3985">
        <w:rPr>
          <w:b/>
          <w:bCs/>
        </w:rPr>
        <w:t>Genel Sonuç: Kısmen Doğru, Ama Önemli Nüanslar Var</w:t>
      </w:r>
    </w:p>
    <w:p w14:paraId="02E2BD6B" w14:textId="77777777" w:rsidR="00BB3985" w:rsidRPr="00BB3985" w:rsidRDefault="00BB3985" w:rsidP="00BB3985">
      <w:pPr>
        <w:rPr>
          <w:b/>
          <w:bCs/>
        </w:rPr>
      </w:pPr>
      <w:r w:rsidRPr="00BB3985">
        <w:rPr>
          <w:rFonts w:ascii="Segoe UI Emoji" w:hAnsi="Segoe UI Emoji" w:cs="Segoe UI Emoji"/>
          <w:b/>
          <w:bCs/>
        </w:rPr>
        <w:t>✅</w:t>
      </w:r>
      <w:r w:rsidRPr="00BB3985">
        <w:rPr>
          <w:b/>
          <w:bCs/>
        </w:rPr>
        <w:t xml:space="preserve"> Doğru Olan Kısımlar</w:t>
      </w:r>
    </w:p>
    <w:p w14:paraId="4F897036" w14:textId="77777777" w:rsidR="00BB3985" w:rsidRPr="00BB3985" w:rsidRDefault="00BB3985" w:rsidP="00BB3985">
      <w:r w:rsidRPr="00BB3985">
        <w:rPr>
          <w:b/>
          <w:bCs/>
        </w:rPr>
        <w:t>1. DSÖ 4.45/1000 eşiği — DOĞRU</w:t>
      </w:r>
    </w:p>
    <w:p w14:paraId="66A2A640" w14:textId="77777777" w:rsidR="00BB3985" w:rsidRPr="00BB3985" w:rsidRDefault="00BB3985" w:rsidP="00BB3985">
      <w:r w:rsidRPr="00BB3985">
        <w:t xml:space="preserve">DSÖ, SDG hedeflerine ulaşmak için 1.000 kişi başına 4.45 sağlık çalışanı (hekim + hemşire + ebe toplamı) eşiğini kullanmaktadır. Bu sayı akademik literatürde defalarca doğrulanmış, güvenilir bir veridir. </w:t>
      </w:r>
      <w:hyperlink r:id="rId5" w:tgtFrame="_blank" w:history="1">
        <w:r w:rsidRPr="00BB3985">
          <w:rPr>
            <w:rStyle w:val="Kpr"/>
          </w:rPr>
          <w:t>Springer</w:t>
        </w:r>
      </w:hyperlink>
    </w:p>
    <w:p w14:paraId="08D0E5E8" w14:textId="77777777" w:rsidR="00BB3985" w:rsidRPr="00BB3985" w:rsidRDefault="00BB3985" w:rsidP="00BB3985">
      <w:r w:rsidRPr="00BB3985">
        <w:rPr>
          <w:b/>
          <w:bCs/>
        </w:rPr>
        <w:t>Kaynak:</w:t>
      </w:r>
      <w:r w:rsidRPr="00BB3985">
        <w:t xml:space="preserve"> Scheffler RM et al. (2016). </w:t>
      </w:r>
      <w:r w:rsidRPr="00BB3985">
        <w:rPr>
          <w:i/>
          <w:iCs/>
        </w:rPr>
        <w:t>Global Health Workforce Labor Market Projections for 2030.</w:t>
      </w:r>
      <w:r w:rsidRPr="00BB3985">
        <w:t xml:space="preserve"> Human Resources for Health. </w:t>
      </w:r>
      <w:hyperlink r:id="rId6" w:history="1">
        <w:r w:rsidRPr="00BB3985">
          <w:rPr>
            <w:rStyle w:val="Kpr"/>
          </w:rPr>
          <w:t>https://doi.org/10.1186/s12960-017-0187-2</w:t>
        </w:r>
      </w:hyperlink>
    </w:p>
    <w:p w14:paraId="5110A409" w14:textId="77777777" w:rsidR="00BB3985" w:rsidRPr="00BB3985" w:rsidRDefault="00BB3985" w:rsidP="00BB3985">
      <w:r w:rsidRPr="00BB3985">
        <w:pict w14:anchorId="14AFAAA2">
          <v:rect id="_x0000_i1116" style="width:0;height:1.5pt" o:hralign="center" o:hrstd="t" o:hr="t" fillcolor="#a0a0a0" stroked="f"/>
        </w:pict>
      </w:r>
    </w:p>
    <w:p w14:paraId="0671D44D" w14:textId="77777777" w:rsidR="00BB3985" w:rsidRPr="00BB3985" w:rsidRDefault="00BB3985" w:rsidP="00BB3985">
      <w:r w:rsidRPr="00BB3985">
        <w:rPr>
          <w:b/>
          <w:bCs/>
        </w:rPr>
        <w:t>2. OECD yatak ortalaması — DOĞRU (küçük güncelleme var)</w:t>
      </w:r>
    </w:p>
    <w:p w14:paraId="57EA3815" w14:textId="77777777" w:rsidR="00BB3985" w:rsidRPr="00BB3985" w:rsidRDefault="00BB3985" w:rsidP="00BB3985">
      <w:r w:rsidRPr="00BB3985">
        <w:t xml:space="preserve">OECD ülkeleri genelinde 2021 yılında 1.000 kişi başına ortalama 4.3 hastane yatağı bulunmaktadır. Ancak Health at a Glance 2025'e göre OECD ortalaması 4.2'ye güncellendi. Makalende hangisini kullanırsan o yılın raporunu belirt. </w:t>
      </w:r>
      <w:hyperlink r:id="rId7" w:tgtFrame="_blank" w:history="1">
        <w:r w:rsidRPr="00BB3985">
          <w:rPr>
            <w:rStyle w:val="Kpr"/>
          </w:rPr>
          <w:t>OECD</w:t>
        </w:r>
      </w:hyperlink>
      <w:hyperlink r:id="rId8" w:tgtFrame="_blank" w:history="1">
        <w:r w:rsidRPr="00BB3985">
          <w:rPr>
            <w:rStyle w:val="Kpr"/>
          </w:rPr>
          <w:t>OECD</w:t>
        </w:r>
      </w:hyperlink>
    </w:p>
    <w:p w14:paraId="4F765A9D" w14:textId="77777777" w:rsidR="00BB3985" w:rsidRPr="00BB3985" w:rsidRDefault="00BB3985" w:rsidP="00BB3985">
      <w:r w:rsidRPr="00BB3985">
        <w:rPr>
          <w:b/>
          <w:bCs/>
        </w:rPr>
        <w:t>Kaynak:</w:t>
      </w:r>
      <w:r w:rsidRPr="00BB3985">
        <w:t xml:space="preserve"> OECD (2023/2025), </w:t>
      </w:r>
      <w:r w:rsidRPr="00BB3985">
        <w:rPr>
          <w:i/>
          <w:iCs/>
        </w:rPr>
        <w:t>Health at a Glance</w:t>
      </w:r>
      <w:r w:rsidRPr="00BB3985">
        <w:t xml:space="preserve">, OECD Publishing, Paris. </w:t>
      </w:r>
      <w:hyperlink r:id="rId9" w:history="1">
        <w:r w:rsidRPr="00BB3985">
          <w:rPr>
            <w:rStyle w:val="Kpr"/>
          </w:rPr>
          <w:t>https://doi.org/10.1787/7a7afb35-en</w:t>
        </w:r>
      </w:hyperlink>
    </w:p>
    <w:p w14:paraId="0A7F22D6" w14:textId="77777777" w:rsidR="00BB3985" w:rsidRPr="00BB3985" w:rsidRDefault="00BB3985" w:rsidP="00BB3985">
      <w:r w:rsidRPr="00BB3985">
        <w:pict w14:anchorId="3231CCE3">
          <v:rect id="_x0000_i1117" style="width:0;height:1.5pt" o:hralign="center" o:hrstd="t" o:hr="t" fillcolor="#a0a0a0" stroked="f"/>
        </w:pict>
      </w:r>
    </w:p>
    <w:p w14:paraId="4A683180" w14:textId="77777777" w:rsidR="00BB3985" w:rsidRPr="00BB3985" w:rsidRDefault="00BB3985" w:rsidP="00BB3985">
      <w:r w:rsidRPr="00BB3985">
        <w:rPr>
          <w:b/>
          <w:bCs/>
        </w:rPr>
        <w:t>3. Türkiye yatak sayısı — DOĞRU</w:t>
      </w:r>
    </w:p>
    <w:p w14:paraId="1A3FD976" w14:textId="77777777" w:rsidR="00BB3985" w:rsidRPr="00BB3985" w:rsidRDefault="00BB3985" w:rsidP="00BB3985">
      <w:r w:rsidRPr="00BB3985">
        <w:t xml:space="preserve">Türkiye'nin 1.000 kişi başına 3.1 hastane yatağı vardır; bu OECD ortalamasının altındadır. "Yaklaşık 3.0" ifadesi bu açıdan isabetlidir. </w:t>
      </w:r>
      <w:hyperlink r:id="rId10" w:tgtFrame="_blank" w:history="1">
        <w:r w:rsidRPr="00BB3985">
          <w:rPr>
            <w:rStyle w:val="Kpr"/>
          </w:rPr>
          <w:t>OECD</w:t>
        </w:r>
      </w:hyperlink>
    </w:p>
    <w:p w14:paraId="1E86552B" w14:textId="77777777" w:rsidR="00BB3985" w:rsidRPr="00BB3985" w:rsidRDefault="00BB3985" w:rsidP="00BB3985">
      <w:r w:rsidRPr="00BB3985">
        <w:pict w14:anchorId="3B8DF79B">
          <v:rect id="_x0000_i1118" style="width:0;height:1.5pt" o:hralign="center" o:hrstd="t" o:hr="t" fillcolor="#a0a0a0" stroked="f"/>
        </w:pict>
      </w:r>
    </w:p>
    <w:p w14:paraId="227E092C" w14:textId="77777777" w:rsidR="00BB3985" w:rsidRPr="00BB3985" w:rsidRDefault="00BB3985" w:rsidP="00BB3985">
      <w:pPr>
        <w:rPr>
          <w:b/>
          <w:bCs/>
        </w:rPr>
      </w:pPr>
      <w:r w:rsidRPr="00BB3985">
        <w:rPr>
          <w:rFonts w:ascii="Segoe UI Emoji" w:hAnsi="Segoe UI Emoji" w:cs="Segoe UI Emoji"/>
          <w:b/>
          <w:bCs/>
        </w:rPr>
        <w:t>⚠️</w:t>
      </w:r>
      <w:r w:rsidRPr="00BB3985">
        <w:rPr>
          <w:b/>
          <w:bCs/>
        </w:rPr>
        <w:t xml:space="preserve"> Kısmen Doğru / Dikkat Gerektiren Kısımlar</w:t>
      </w:r>
    </w:p>
    <w:p w14:paraId="58329973" w14:textId="77777777" w:rsidR="00BB3985" w:rsidRPr="00BB3985" w:rsidRDefault="00BB3985" w:rsidP="00BB3985">
      <w:r w:rsidRPr="00BB3985">
        <w:rPr>
          <w:b/>
          <w:bCs/>
        </w:rPr>
        <w:t>4. 65+ için "4x katsayısı" ve 0-14 için "1.5x katsayısı" — KABACA DOĞRU ama kesin bir DSÖ sayısı değil</w:t>
      </w:r>
    </w:p>
    <w:p w14:paraId="2835C106" w14:textId="77777777" w:rsidR="00BB3985" w:rsidRPr="00BB3985" w:rsidRDefault="00BB3985" w:rsidP="00BB3985">
      <w:r w:rsidRPr="00BB3985">
        <w:t xml:space="preserve">Bu katsayılar tamamen doğruymuş gibi sunulmuş, ama aslında bir aralığı var. 65 yaş üstü nüfusun kişi başı sağlık harcamasının 65 yaş altına oranı, OECD ülkelerinde 2.7 ile 4.8 arasında değişmektedir. Yani "4.0x" bir orta nokta tahminidir, tek bir resmi DSÖ sayısı değildir. </w:t>
      </w:r>
      <w:hyperlink r:id="rId11" w:tgtFrame="_blank" w:history="1">
        <w:r w:rsidRPr="00BB3985">
          <w:rPr>
            <w:rStyle w:val="Kpr"/>
          </w:rPr>
          <w:t>Harvard</w:t>
        </w:r>
      </w:hyperlink>
    </w:p>
    <w:p w14:paraId="313ABA67" w14:textId="77777777" w:rsidR="00BB3985" w:rsidRPr="00BB3985" w:rsidRDefault="00BB3985" w:rsidP="00BB3985">
      <w:r w:rsidRPr="00BB3985">
        <w:t xml:space="preserve">ABD'de 75 yaş üstünün harcaması referans gruba göre 8-12 kat yüksekken, Avusturya, Almanya, İspanya ve İsveç'te bu oran yalnızca 2 kattır. Yani ülkeden ülkeye büyük farklılık var. </w:t>
      </w:r>
      <w:hyperlink r:id="rId12" w:tgtFrame="_blank" w:history="1">
        <w:r w:rsidRPr="00BB3985">
          <w:rPr>
            <w:rStyle w:val="Kpr"/>
          </w:rPr>
          <w:t>National Bureau of Economic Research</w:t>
        </w:r>
      </w:hyperlink>
    </w:p>
    <w:p w14:paraId="350DD63D" w14:textId="77777777" w:rsidR="00BB3985" w:rsidRPr="00BB3985" w:rsidRDefault="00BB3985" w:rsidP="00BB3985">
      <w:r w:rsidRPr="00BB3985">
        <w:rPr>
          <w:b/>
          <w:bCs/>
        </w:rPr>
        <w:lastRenderedPageBreak/>
        <w:t>Makalende bunu şöyle savunabilirsin:</w:t>
      </w:r>
      <w:r w:rsidRPr="00BB3985">
        <w:t xml:space="preserve"> "65+ için 4.0x katsayısı, OECD ülkeleri genelinde gözlemlenen 2.7–4.8 aralığının orta değeri olarak kullanılmıştır (Anderson &amp; Hussey, 2000)."</w:t>
      </w:r>
    </w:p>
    <w:p w14:paraId="6EE0AD50" w14:textId="77777777" w:rsidR="00BB3985" w:rsidRPr="00BB3985" w:rsidRDefault="00BB3985" w:rsidP="00BB3985">
      <w:r w:rsidRPr="00BB3985">
        <w:pict w14:anchorId="5060D8AA">
          <v:rect id="_x0000_i1119" style="width:0;height:1.5pt" o:hralign="center" o:hrstd="t" o:hr="t" fillcolor="#a0a0a0" stroked="f"/>
        </w:pict>
      </w:r>
    </w:p>
    <w:p w14:paraId="3C65B705" w14:textId="77777777" w:rsidR="00BB3985" w:rsidRPr="00BB3985" w:rsidRDefault="00BB3985" w:rsidP="00BB3985">
      <w:r w:rsidRPr="00BB3985">
        <w:rPr>
          <w:b/>
          <w:bCs/>
        </w:rPr>
        <w:t>5. TOPSIS ağırlıkları (0.35 / 0.15 / 0.30 / 0.20) — BUNLAR TÜRETME, DSÖ'NÜN KENDİSİ DEĞİL</w:t>
      </w:r>
    </w:p>
    <w:p w14:paraId="252B1675" w14:textId="77777777" w:rsidR="00BB3985" w:rsidRPr="00BB3985" w:rsidRDefault="00BB3985" w:rsidP="00BB3985">
      <w:r w:rsidRPr="00BB3985">
        <w:t xml:space="preserve">Bu ağırlıklar, DSÖ ve OECD verilerinden </w:t>
      </w:r>
      <w:r w:rsidRPr="00BB3985">
        <w:rPr>
          <w:i/>
          <w:iCs/>
        </w:rPr>
        <w:t>yorum yoluyla</w:t>
      </w:r>
      <w:r w:rsidRPr="00BB3985">
        <w:t xml:space="preserve"> hesaplanmıştır. Resmi bir yayında bu tablonun kendisi yoktur. Akademik açıdan bu kabul edilebilir, ama </w:t>
      </w:r>
      <w:r w:rsidRPr="00BB3985">
        <w:rPr>
          <w:i/>
          <w:iCs/>
        </w:rPr>
        <w:t>şeffaf biçimde sunulmalı.</w:t>
      </w:r>
      <w:r w:rsidRPr="00BB3985">
        <w:t xml:space="preserve"> "DSÖ bu ağırlıkları önerdi" değil, "DSÖ/OECD verileri kullanılarak hesaplandı" demelisin.</w:t>
      </w:r>
    </w:p>
    <w:p w14:paraId="01093F9A" w14:textId="77777777" w:rsidR="00BB3985" w:rsidRPr="00BB3985" w:rsidRDefault="00BB3985" w:rsidP="00BB3985">
      <w:r w:rsidRPr="00BB3985">
        <w:pict w14:anchorId="2E64C60E">
          <v:rect id="_x0000_i1120" style="width:0;height:1.5pt" o:hralign="center" o:hrstd="t" o:hr="t" fillcolor="#a0a0a0" stroked="f"/>
        </w:pict>
      </w:r>
    </w:p>
    <w:p w14:paraId="5AD9BA28" w14:textId="77777777" w:rsidR="00BB3985" w:rsidRPr="00BB3985" w:rsidRDefault="00BB3985" w:rsidP="00BB3985">
      <w:pPr>
        <w:rPr>
          <w:b/>
          <w:bCs/>
        </w:rPr>
      </w:pPr>
      <w:r w:rsidRPr="00BB3985">
        <w:rPr>
          <w:b/>
          <w:bCs/>
        </w:rPr>
        <w:t>Makalende Kullanabileceğin Net Kaynaklar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8024"/>
      </w:tblGrid>
      <w:tr w:rsidR="00BB3985" w:rsidRPr="00BB3985" w14:paraId="66E78680" w14:textId="77777777">
        <w:trPr>
          <w:tblHeader/>
          <w:tblCellSpacing w:w="15" w:type="dxa"/>
        </w:trPr>
        <w:tc>
          <w:tcPr>
            <w:tcW w:w="0" w:type="auto"/>
            <w:vAlign w:val="center"/>
            <w:hideMark/>
          </w:tcPr>
          <w:p w14:paraId="6DC767BF" w14:textId="77777777" w:rsidR="00BB3985" w:rsidRPr="00BB3985" w:rsidRDefault="00BB3985" w:rsidP="00BB3985">
            <w:pPr>
              <w:rPr>
                <w:b/>
                <w:bCs/>
              </w:rPr>
            </w:pPr>
            <w:r w:rsidRPr="00BB3985">
              <w:rPr>
                <w:b/>
                <w:bCs/>
              </w:rPr>
              <w:t>İddia</w:t>
            </w:r>
          </w:p>
        </w:tc>
        <w:tc>
          <w:tcPr>
            <w:tcW w:w="0" w:type="auto"/>
            <w:vAlign w:val="center"/>
            <w:hideMark/>
          </w:tcPr>
          <w:p w14:paraId="15E4002D" w14:textId="77777777" w:rsidR="00BB3985" w:rsidRPr="00BB3985" w:rsidRDefault="00BB3985" w:rsidP="00BB3985">
            <w:pPr>
              <w:rPr>
                <w:b/>
                <w:bCs/>
              </w:rPr>
            </w:pPr>
            <w:r w:rsidRPr="00BB3985">
              <w:rPr>
                <w:b/>
                <w:bCs/>
              </w:rPr>
              <w:t>Kaynak</w:t>
            </w:r>
          </w:p>
        </w:tc>
      </w:tr>
      <w:tr w:rsidR="00BB3985" w:rsidRPr="00BB3985" w14:paraId="6CCEC4AF" w14:textId="77777777">
        <w:trPr>
          <w:tblCellSpacing w:w="15" w:type="dxa"/>
        </w:trPr>
        <w:tc>
          <w:tcPr>
            <w:tcW w:w="0" w:type="auto"/>
            <w:vAlign w:val="center"/>
            <w:hideMark/>
          </w:tcPr>
          <w:p w14:paraId="5B1FD9A1" w14:textId="77777777" w:rsidR="00BB3985" w:rsidRPr="00BB3985" w:rsidRDefault="00BB3985" w:rsidP="00BB3985">
            <w:r w:rsidRPr="00BB3985">
              <w:t>4.45/1000 SDG eşiği</w:t>
            </w:r>
          </w:p>
        </w:tc>
        <w:tc>
          <w:tcPr>
            <w:tcW w:w="0" w:type="auto"/>
            <w:vAlign w:val="center"/>
            <w:hideMark/>
          </w:tcPr>
          <w:p w14:paraId="6FECDC5D" w14:textId="77777777" w:rsidR="00BB3985" w:rsidRPr="00BB3985" w:rsidRDefault="00BB3985" w:rsidP="00BB3985">
            <w:r w:rsidRPr="00BB3985">
              <w:t xml:space="preserve">WHO (2016). </w:t>
            </w:r>
            <w:r w:rsidRPr="00BB3985">
              <w:rPr>
                <w:i/>
                <w:iCs/>
              </w:rPr>
              <w:t>Global Strategy on Human Resources for Health: Workforce 2030</w:t>
            </w:r>
            <w:r w:rsidRPr="00BB3985">
              <w:t>. apps.who.int/iris/handle/10665/250368</w:t>
            </w:r>
          </w:p>
        </w:tc>
      </w:tr>
      <w:tr w:rsidR="00BB3985" w:rsidRPr="00BB3985" w14:paraId="3DE9A05A" w14:textId="77777777">
        <w:trPr>
          <w:tblCellSpacing w:w="15" w:type="dxa"/>
        </w:trPr>
        <w:tc>
          <w:tcPr>
            <w:tcW w:w="0" w:type="auto"/>
            <w:vAlign w:val="center"/>
            <w:hideMark/>
          </w:tcPr>
          <w:p w14:paraId="535C52CD" w14:textId="77777777" w:rsidR="00BB3985" w:rsidRPr="00BB3985" w:rsidRDefault="00BB3985" w:rsidP="00BB3985">
            <w:r w:rsidRPr="00BB3985">
              <w:t>65+ harcama katsayısı (2.7–4.8x)</w:t>
            </w:r>
          </w:p>
        </w:tc>
        <w:tc>
          <w:tcPr>
            <w:tcW w:w="0" w:type="auto"/>
            <w:vAlign w:val="center"/>
            <w:hideMark/>
          </w:tcPr>
          <w:p w14:paraId="17E16B9A" w14:textId="77777777" w:rsidR="00BB3985" w:rsidRPr="00BB3985" w:rsidRDefault="00BB3985" w:rsidP="00BB3985">
            <w:r w:rsidRPr="00BB3985">
              <w:t xml:space="preserve">Anderson &amp; Hussey (2000); Harvard School of Public Health, </w:t>
            </w:r>
            <w:hyperlink r:id="rId13" w:history="1">
              <w:r w:rsidRPr="00BB3985">
                <w:rPr>
                  <w:rStyle w:val="Kpr"/>
                </w:rPr>
                <w:t>https://content.sph.harvard.edu/wwwhsph/sites/1989/2020/01/HealthExpendituresAndTheElderly.pdf</w:t>
              </w:r>
            </w:hyperlink>
          </w:p>
        </w:tc>
      </w:tr>
      <w:tr w:rsidR="00BB3985" w:rsidRPr="00BB3985" w14:paraId="45A07B49" w14:textId="77777777">
        <w:trPr>
          <w:tblCellSpacing w:w="15" w:type="dxa"/>
        </w:trPr>
        <w:tc>
          <w:tcPr>
            <w:tcW w:w="0" w:type="auto"/>
            <w:vAlign w:val="center"/>
            <w:hideMark/>
          </w:tcPr>
          <w:p w14:paraId="46B97962" w14:textId="77777777" w:rsidR="00BB3985" w:rsidRPr="00BB3985" w:rsidRDefault="00BB3985" w:rsidP="00BB3985">
            <w:r w:rsidRPr="00BB3985">
              <w:t>OECD yatak ortalaması 4.3 (2021)</w:t>
            </w:r>
          </w:p>
        </w:tc>
        <w:tc>
          <w:tcPr>
            <w:tcW w:w="0" w:type="auto"/>
            <w:vAlign w:val="center"/>
            <w:hideMark/>
          </w:tcPr>
          <w:p w14:paraId="54727287" w14:textId="77777777" w:rsidR="00BB3985" w:rsidRPr="00BB3985" w:rsidRDefault="00BB3985" w:rsidP="00BB3985">
            <w:r w:rsidRPr="00BB3985">
              <w:t xml:space="preserve">OECD (2023). </w:t>
            </w:r>
            <w:r w:rsidRPr="00BB3985">
              <w:rPr>
                <w:i/>
                <w:iCs/>
              </w:rPr>
              <w:t>Health at a Glance 2023</w:t>
            </w:r>
            <w:r w:rsidRPr="00BB3985">
              <w:t xml:space="preserve">. </w:t>
            </w:r>
            <w:hyperlink r:id="rId14" w:history="1">
              <w:r w:rsidRPr="00BB3985">
                <w:rPr>
                  <w:rStyle w:val="Kpr"/>
                </w:rPr>
                <w:t>https://doi.org/10.1787/7a7afb35-en</w:t>
              </w:r>
            </w:hyperlink>
          </w:p>
        </w:tc>
      </w:tr>
      <w:tr w:rsidR="00BB3985" w:rsidRPr="00BB3985" w14:paraId="23673C49" w14:textId="77777777">
        <w:trPr>
          <w:tblCellSpacing w:w="15" w:type="dxa"/>
        </w:trPr>
        <w:tc>
          <w:tcPr>
            <w:tcW w:w="0" w:type="auto"/>
            <w:vAlign w:val="center"/>
            <w:hideMark/>
          </w:tcPr>
          <w:p w14:paraId="38A67BFB" w14:textId="77777777" w:rsidR="00BB3985" w:rsidRPr="00BB3985" w:rsidRDefault="00BB3985" w:rsidP="00BB3985">
            <w:r w:rsidRPr="00BB3985">
              <w:t>Türkiye 3.1 yatak/1000</w:t>
            </w:r>
          </w:p>
        </w:tc>
        <w:tc>
          <w:tcPr>
            <w:tcW w:w="0" w:type="auto"/>
            <w:vAlign w:val="center"/>
            <w:hideMark/>
          </w:tcPr>
          <w:p w14:paraId="65EF2B91" w14:textId="77777777" w:rsidR="00BB3985" w:rsidRPr="00BB3985" w:rsidRDefault="00BB3985" w:rsidP="00BB3985">
            <w:r w:rsidRPr="00BB3985">
              <w:t xml:space="preserve">OECD (2025). </w:t>
            </w:r>
            <w:r w:rsidRPr="00BB3985">
              <w:rPr>
                <w:i/>
                <w:iCs/>
              </w:rPr>
              <w:t>Health at a Glance 2025: Türkiye</w:t>
            </w:r>
            <w:r w:rsidRPr="00BB3985">
              <w:t xml:space="preserve">. </w:t>
            </w:r>
            <w:hyperlink r:id="rId15" w:history="1">
              <w:r w:rsidRPr="00BB3985">
                <w:rPr>
                  <w:rStyle w:val="Kpr"/>
                </w:rPr>
                <w:t>https://doi.org/10.1787/8f9e3f98-en</w:t>
              </w:r>
            </w:hyperlink>
          </w:p>
        </w:tc>
      </w:tr>
      <w:tr w:rsidR="00BB3985" w:rsidRPr="00BB3985" w14:paraId="4F1D04E7" w14:textId="77777777">
        <w:trPr>
          <w:tblCellSpacing w:w="15" w:type="dxa"/>
        </w:trPr>
        <w:tc>
          <w:tcPr>
            <w:tcW w:w="0" w:type="auto"/>
            <w:vAlign w:val="center"/>
            <w:hideMark/>
          </w:tcPr>
          <w:p w14:paraId="4A80717E" w14:textId="77777777" w:rsidR="00BB3985" w:rsidRPr="00BB3985" w:rsidRDefault="00BB3985" w:rsidP="00BB3985">
            <w:r w:rsidRPr="00BB3985">
              <w:t xml:space="preserve">Yaşa göre ağırlıklı harcama </w:t>
            </w:r>
            <w:r w:rsidRPr="00BB3985">
              <w:lastRenderedPageBreak/>
              <w:t>metodolojisi</w:t>
            </w:r>
          </w:p>
        </w:tc>
        <w:tc>
          <w:tcPr>
            <w:tcW w:w="0" w:type="auto"/>
            <w:vAlign w:val="center"/>
            <w:hideMark/>
          </w:tcPr>
          <w:p w14:paraId="3C8ED8B9" w14:textId="77777777" w:rsidR="00BB3985" w:rsidRPr="00BB3985" w:rsidRDefault="00BB3985" w:rsidP="00BB3985">
            <w:r w:rsidRPr="00BB3985">
              <w:lastRenderedPageBreak/>
              <w:t xml:space="preserve">Morgan &amp; Mueller (2023). OECD Health Working Papers No. 162. </w:t>
            </w:r>
            <w:hyperlink r:id="rId16" w:history="1">
              <w:r w:rsidRPr="00BB3985">
                <w:rPr>
                  <w:rStyle w:val="Kpr"/>
                </w:rPr>
                <w:t>https://doi.org/10.1787/043ed664-en</w:t>
              </w:r>
            </w:hyperlink>
          </w:p>
        </w:tc>
      </w:tr>
    </w:tbl>
    <w:p w14:paraId="2751E7A3" w14:textId="77777777" w:rsidR="00BB3985" w:rsidRPr="00BB3985" w:rsidRDefault="00BB3985" w:rsidP="00BB3985">
      <w:r w:rsidRPr="00BB3985">
        <w:t xml:space="preserve">Özetle: </w:t>
      </w:r>
      <w:r w:rsidRPr="00BB3985">
        <w:rPr>
          <w:b/>
          <w:bCs/>
        </w:rPr>
        <w:t>rakamların özü doğru</w:t>
      </w:r>
      <w:r w:rsidRPr="00BB3985">
        <w:t>, ancak "DSÖ bunu yayınladı" yerine "DSÖ/OECD verisinden türetildi" demek akademik açıdan çok daha sağlam olur.</w:t>
      </w:r>
    </w:p>
    <w:p w14:paraId="0C302A44" w14:textId="77777777" w:rsidR="00BB3985" w:rsidRPr="00BB3985" w:rsidRDefault="00BB3985" w:rsidP="00BB3985">
      <w:pPr>
        <w:rPr>
          <w:b/>
          <w:bCs/>
        </w:rPr>
      </w:pPr>
      <w:r w:rsidRPr="00BB3985">
        <w:rPr>
          <w:b/>
          <w:bCs/>
        </w:rPr>
        <w:t>You said: yani bunların hepsi doğrulanmış kaynaklar mı eğer doğru ise bana oranlarını da ver.</w:t>
      </w:r>
    </w:p>
    <w:p w14:paraId="2ED22236" w14:textId="77777777" w:rsidR="00BB3985" w:rsidRPr="00BB3985" w:rsidRDefault="00BB3985" w:rsidP="00BB3985">
      <w:r w:rsidRPr="00BB3985">
        <w:t>yani bunların hepsi doğrulanmış kaynaklar mı eğer doğru ise bana oranlarını da ver.</w:t>
      </w:r>
    </w:p>
    <w:p w14:paraId="4E772B3D" w14:textId="77777777" w:rsidR="00BB3985" w:rsidRPr="00BB3985" w:rsidRDefault="00BB3985" w:rsidP="00BB3985">
      <w:r w:rsidRPr="00BB3985">
        <w:t>22:22</w:t>
      </w:r>
    </w:p>
    <w:p w14:paraId="4CC290C9" w14:textId="77777777" w:rsidR="00BB3985" w:rsidRPr="00BB3985" w:rsidRDefault="00BB3985" w:rsidP="00BB3985">
      <w:pPr>
        <w:rPr>
          <w:b/>
          <w:bCs/>
        </w:rPr>
      </w:pPr>
      <w:r w:rsidRPr="00BB3985">
        <w:rPr>
          <w:b/>
          <w:bCs/>
        </w:rPr>
        <w:t>Claude responded: Artık tüm verileri doğruladım.</w:t>
      </w:r>
    </w:p>
    <w:p w14:paraId="5F394FC0" w14:textId="77777777" w:rsidR="00BB3985" w:rsidRPr="00BB3985" w:rsidRDefault="00BB3985" w:rsidP="00BB3985">
      <w:r w:rsidRPr="00BB3985">
        <w:t>Searched the web</w:t>
      </w:r>
    </w:p>
    <w:p w14:paraId="34B565B2" w14:textId="77777777" w:rsidR="00BB3985" w:rsidRPr="00BB3985" w:rsidRDefault="00BB3985" w:rsidP="00BB3985">
      <w:r w:rsidRPr="00BB3985">
        <w:t>Searched the web</w:t>
      </w:r>
    </w:p>
    <w:p w14:paraId="2E0B3B8D" w14:textId="77777777" w:rsidR="00BB3985" w:rsidRPr="00BB3985" w:rsidRDefault="00BB3985" w:rsidP="00BB3985">
      <w:r w:rsidRPr="00BB3985">
        <w:t>Artık tüm verileri doğruladım. Sana net bir doğrulama tablosu sunuyorum:</w:t>
      </w:r>
    </w:p>
    <w:p w14:paraId="7FF85A8C" w14:textId="77777777" w:rsidR="00BB3985" w:rsidRPr="00BB3985" w:rsidRDefault="00BB3985" w:rsidP="00BB3985">
      <w:r w:rsidRPr="00BB3985">
        <w:pict w14:anchorId="6B0EC7D2">
          <v:rect id="_x0000_i1121" style="width:0;height:1.5pt" o:hralign="center" o:hrstd="t" o:hr="t" fillcolor="#a0a0a0" stroked="f"/>
        </w:pict>
      </w:r>
    </w:p>
    <w:p w14:paraId="75B6B440" w14:textId="77777777" w:rsidR="00BB3985" w:rsidRPr="00BB3985" w:rsidRDefault="00BB3985" w:rsidP="00BB3985">
      <w:pPr>
        <w:rPr>
          <w:b/>
          <w:bCs/>
        </w:rPr>
      </w:pPr>
      <w:r w:rsidRPr="00BB3985">
        <w:rPr>
          <w:b/>
          <w:bCs/>
        </w:rPr>
        <w:t>Her İddia İçin Doğrulama ve Gerçek Oranlar</w:t>
      </w:r>
    </w:p>
    <w:p w14:paraId="7D2E0424" w14:textId="77777777" w:rsidR="00BB3985" w:rsidRPr="00BB3985" w:rsidRDefault="00BB3985" w:rsidP="00BB3985">
      <w:pPr>
        <w:rPr>
          <w:b/>
          <w:bCs/>
        </w:rPr>
      </w:pPr>
      <w:r w:rsidRPr="00BB3985">
        <w:rPr>
          <w:b/>
          <w:bCs/>
        </w:rPr>
        <w:t xml:space="preserve">1. DSÖ 4.45/1000 Eşiği </w:t>
      </w:r>
      <w:r w:rsidRPr="00BB3985">
        <w:rPr>
          <w:rFonts w:ascii="Segoe UI Emoji" w:hAnsi="Segoe UI Emoji" w:cs="Segoe UI Emoji"/>
          <w:b/>
          <w:bCs/>
        </w:rPr>
        <w:t>✅</w:t>
      </w:r>
      <w:r w:rsidRPr="00BB3985">
        <w:rPr>
          <w:b/>
          <w:bCs/>
        </w:rPr>
        <w:t xml:space="preserve"> TAM DO</w:t>
      </w:r>
      <w:r w:rsidRPr="00BB3985">
        <w:rPr>
          <w:rFonts w:ascii="Aptos" w:hAnsi="Aptos" w:cs="Aptos"/>
          <w:b/>
          <w:bCs/>
        </w:rPr>
        <w:t>Ğ</w:t>
      </w:r>
      <w:r w:rsidRPr="00BB3985">
        <w:rPr>
          <w:b/>
          <w:bCs/>
        </w:rPr>
        <w:t>RU</w:t>
      </w:r>
    </w:p>
    <w:p w14:paraId="6961D3E2" w14:textId="77777777" w:rsidR="00BB3985" w:rsidRPr="00BB3985" w:rsidRDefault="00BB3985" w:rsidP="00BB3985">
      <w:r w:rsidRPr="00BB3985">
        <w:t xml:space="preserve">DSÖ, SDG hedeflerine (evrensel sağlık kapsamı) ulaşmak için 1.000 kişi başına 4.45 sağlık çalışanı yoğunluğunu eşik değer olarak kullanmaktadır. </w:t>
      </w:r>
      <w:hyperlink r:id="rId17" w:tgtFrame="_blank" w:history="1">
        <w:r w:rsidRPr="00BB3985">
          <w:rPr>
            <w:rStyle w:val="Kpr"/>
          </w:rPr>
          <w:t>Springer</w:t>
        </w:r>
      </w:hyperlink>
    </w:p>
    <w:p w14:paraId="690A7A36" w14:textId="77777777" w:rsidR="00BB3985" w:rsidRPr="00BB3985" w:rsidRDefault="00BB3985" w:rsidP="00BB3985">
      <w:r w:rsidRPr="00BB3985">
        <w:rPr>
          <w:b/>
          <w:bCs/>
        </w:rPr>
        <w:t>Resmi Kaynak:</w:t>
      </w:r>
    </w:p>
    <w:p w14:paraId="51FF6626" w14:textId="77777777" w:rsidR="00BB3985" w:rsidRPr="00BB3985" w:rsidRDefault="00BB3985" w:rsidP="00BB3985">
      <w:r w:rsidRPr="00BB3985">
        <w:t xml:space="preserve">Scheffler RM et al. (2016). </w:t>
      </w:r>
      <w:r w:rsidRPr="00BB3985">
        <w:rPr>
          <w:i/>
          <w:iCs/>
        </w:rPr>
        <w:t>Global Health Workforce Labor Market Projections for 2030.</w:t>
      </w:r>
      <w:r w:rsidRPr="00BB3985">
        <w:t xml:space="preserve"> Human Resources for Health. </w:t>
      </w:r>
      <w:hyperlink r:id="rId18" w:history="1">
        <w:r w:rsidRPr="00BB3985">
          <w:rPr>
            <w:rStyle w:val="Kpr"/>
          </w:rPr>
          <w:t>https://link.springer.com/article/10.1186/s12960-017-0187-2</w:t>
        </w:r>
      </w:hyperlink>
      <w:r w:rsidRPr="00BB3985">
        <w:t xml:space="preserve"> WHO (2016). </w:t>
      </w:r>
      <w:r w:rsidRPr="00BB3985">
        <w:rPr>
          <w:i/>
          <w:iCs/>
        </w:rPr>
        <w:t>Global Strategy on Human Resources for Health: Workforce 2030.</w:t>
      </w:r>
      <w:r w:rsidRPr="00BB3985">
        <w:t xml:space="preserve"> </w:t>
      </w:r>
      <w:hyperlink r:id="rId19" w:history="1">
        <w:r w:rsidRPr="00BB3985">
          <w:rPr>
            <w:rStyle w:val="Kpr"/>
          </w:rPr>
          <w:t>https://apps.who.int/iris/handle/10665/250368</w:t>
        </w:r>
      </w:hyperlink>
    </w:p>
    <w:p w14:paraId="4DFE954C" w14:textId="77777777" w:rsidR="00BB3985" w:rsidRPr="00BB3985" w:rsidRDefault="00BB3985" w:rsidP="00BB3985">
      <w:r w:rsidRPr="00BB3985">
        <w:pict w14:anchorId="3114C118">
          <v:rect id="_x0000_i1122" style="width:0;height:1.5pt" o:hralign="center" o:hrstd="t" o:hr="t" fillcolor="#a0a0a0" stroked="f"/>
        </w:pict>
      </w:r>
    </w:p>
    <w:p w14:paraId="3AB2681D" w14:textId="77777777" w:rsidR="00BB3985" w:rsidRPr="00BB3985" w:rsidRDefault="00BB3985" w:rsidP="00BB3985">
      <w:pPr>
        <w:rPr>
          <w:b/>
          <w:bCs/>
        </w:rPr>
      </w:pPr>
      <w:r w:rsidRPr="00BB3985">
        <w:rPr>
          <w:b/>
          <w:bCs/>
        </w:rPr>
        <w:t xml:space="preserve">2. OECD Yatak Ortalaması </w:t>
      </w:r>
      <w:r w:rsidRPr="00BB3985">
        <w:rPr>
          <w:rFonts w:ascii="Segoe UI Emoji" w:hAnsi="Segoe UI Emoji" w:cs="Segoe UI Emoji"/>
          <w:b/>
          <w:bCs/>
        </w:rPr>
        <w:t>✅</w:t>
      </w:r>
      <w:r w:rsidRPr="00BB3985">
        <w:rPr>
          <w:b/>
          <w:bCs/>
        </w:rPr>
        <w:t xml:space="preserve"> DO</w:t>
      </w:r>
      <w:r w:rsidRPr="00BB3985">
        <w:rPr>
          <w:rFonts w:ascii="Aptos" w:hAnsi="Aptos" w:cs="Aptos"/>
          <w:b/>
          <w:bCs/>
        </w:rPr>
        <w:t>Ğ</w:t>
      </w:r>
      <w:r w:rsidRPr="00BB3985">
        <w:rPr>
          <w:b/>
          <w:bCs/>
        </w:rPr>
        <w:t>RU (ama g</w:t>
      </w:r>
      <w:r w:rsidRPr="00BB3985">
        <w:rPr>
          <w:rFonts w:ascii="Aptos" w:hAnsi="Aptos" w:cs="Aptos"/>
          <w:b/>
          <w:bCs/>
        </w:rPr>
        <w:t>ü</w:t>
      </w:r>
      <w:r w:rsidRPr="00BB3985">
        <w:rPr>
          <w:b/>
          <w:bCs/>
        </w:rPr>
        <w:t>ncel rakam de</w:t>
      </w:r>
      <w:r w:rsidRPr="00BB3985">
        <w:rPr>
          <w:rFonts w:ascii="Aptos" w:hAnsi="Aptos" w:cs="Aptos"/>
          <w:b/>
          <w:bCs/>
        </w:rPr>
        <w:t>ğ</w:t>
      </w:r>
      <w:r w:rsidRPr="00BB3985">
        <w:rPr>
          <w:b/>
          <w:bCs/>
        </w:rPr>
        <w:t>i</w:t>
      </w:r>
      <w:r w:rsidRPr="00BB3985">
        <w:rPr>
          <w:rFonts w:ascii="Aptos" w:hAnsi="Aptos" w:cs="Aptos"/>
          <w:b/>
          <w:bCs/>
        </w:rPr>
        <w:t>ş</w:t>
      </w:r>
      <w:r w:rsidRPr="00BB3985">
        <w:rPr>
          <w:b/>
          <w:bCs/>
        </w:rPr>
        <w:t>ti)</w:t>
      </w:r>
    </w:p>
    <w:p w14:paraId="695102C4" w14:textId="77777777" w:rsidR="00BB3985" w:rsidRPr="00BB3985" w:rsidRDefault="00BB3985" w:rsidP="00BB3985">
      <w:r w:rsidRPr="00BB3985">
        <w:t xml:space="preserve">OECD ülkeleri genelinde 2021 yılında 1.000 kişi başına ortalama 4.3 hastane yatağı mevcuttur. Ancak OECD Health at a Glance 2025'e göre bu ortalama 4.2'ye güncellendi. </w:t>
      </w:r>
      <w:hyperlink r:id="rId20" w:tgtFrame="_blank" w:history="1">
        <w:r w:rsidRPr="00BB3985">
          <w:rPr>
            <w:rStyle w:val="Kpr"/>
          </w:rPr>
          <w:t>OECD</w:t>
        </w:r>
      </w:hyperlink>
      <w:hyperlink r:id="rId21" w:tgtFrame="_blank" w:history="1">
        <w:r w:rsidRPr="00BB3985">
          <w:rPr>
            <w:rStyle w:val="Kpr"/>
          </w:rPr>
          <w:t>OECD</w:t>
        </w:r>
      </w:hyperlink>
    </w:p>
    <w:p w14:paraId="63E3F80F" w14:textId="77777777" w:rsidR="00BB3985" w:rsidRPr="00BB3985" w:rsidRDefault="00BB3985" w:rsidP="00BB3985">
      <w:r w:rsidRPr="00BB3985">
        <w:rPr>
          <w:b/>
          <w:bCs/>
        </w:rPr>
        <w:t>Resmi Kaynak:</w:t>
      </w:r>
    </w:p>
    <w:p w14:paraId="3BB05601" w14:textId="77777777" w:rsidR="00BB3985" w:rsidRPr="00BB3985" w:rsidRDefault="00BB3985" w:rsidP="00BB3985">
      <w:r w:rsidRPr="00BB3985">
        <w:t xml:space="preserve">OECD (2023). </w:t>
      </w:r>
      <w:r w:rsidRPr="00BB3985">
        <w:rPr>
          <w:i/>
          <w:iCs/>
        </w:rPr>
        <w:t>Health at a Glance 2023.</w:t>
      </w:r>
      <w:r w:rsidRPr="00BB3985">
        <w:t xml:space="preserve"> </w:t>
      </w:r>
      <w:hyperlink r:id="rId22" w:history="1">
        <w:r w:rsidRPr="00BB3985">
          <w:rPr>
            <w:rStyle w:val="Kpr"/>
          </w:rPr>
          <w:t>https://doi.org/10.1787/7a7afb35-en</w:t>
        </w:r>
      </w:hyperlink>
    </w:p>
    <w:p w14:paraId="76E0362F" w14:textId="77777777" w:rsidR="00BB3985" w:rsidRPr="00BB3985" w:rsidRDefault="00BB3985" w:rsidP="00BB3985">
      <w:r w:rsidRPr="00BB3985">
        <w:lastRenderedPageBreak/>
        <w:pict w14:anchorId="04408EAA">
          <v:rect id="_x0000_i1123" style="width:0;height:1.5pt" o:hralign="center" o:hrstd="t" o:hr="t" fillcolor="#a0a0a0" stroked="f"/>
        </w:pict>
      </w:r>
    </w:p>
    <w:p w14:paraId="128B9067" w14:textId="77777777" w:rsidR="00BB3985" w:rsidRPr="00BB3985" w:rsidRDefault="00BB3985" w:rsidP="00BB3985">
      <w:pPr>
        <w:rPr>
          <w:b/>
          <w:bCs/>
        </w:rPr>
      </w:pPr>
      <w:r w:rsidRPr="00BB3985">
        <w:rPr>
          <w:b/>
          <w:bCs/>
        </w:rPr>
        <w:t xml:space="preserve">3. Türkiye Yatak Sayısı </w:t>
      </w:r>
      <w:r w:rsidRPr="00BB3985">
        <w:rPr>
          <w:rFonts w:ascii="Segoe UI Emoji" w:hAnsi="Segoe UI Emoji" w:cs="Segoe UI Emoji"/>
          <w:b/>
          <w:bCs/>
        </w:rPr>
        <w:t>✅</w:t>
      </w:r>
      <w:r w:rsidRPr="00BB3985">
        <w:rPr>
          <w:b/>
          <w:bCs/>
        </w:rPr>
        <w:t xml:space="preserve"> DO</w:t>
      </w:r>
      <w:r w:rsidRPr="00BB3985">
        <w:rPr>
          <w:rFonts w:ascii="Aptos" w:hAnsi="Aptos" w:cs="Aptos"/>
          <w:b/>
          <w:bCs/>
        </w:rPr>
        <w:t>Ğ</w:t>
      </w:r>
      <w:r w:rsidRPr="00BB3985">
        <w:rPr>
          <w:b/>
          <w:bCs/>
        </w:rPr>
        <w:t>RU</w:t>
      </w:r>
    </w:p>
    <w:p w14:paraId="0F2F857B" w14:textId="77777777" w:rsidR="00BB3985" w:rsidRPr="00BB3985" w:rsidRDefault="00BB3985" w:rsidP="00BB3985">
      <w:r w:rsidRPr="00BB3985">
        <w:t xml:space="preserve">Türkiye 1.000 kişi başına 3.1 hastane yatağına sahiptir; bu OECD ortalamasının altındadır. </w:t>
      </w:r>
      <w:hyperlink r:id="rId23" w:tgtFrame="_blank" w:history="1">
        <w:r w:rsidRPr="00BB3985">
          <w:rPr>
            <w:rStyle w:val="Kpr"/>
          </w:rPr>
          <w:t>OECD</w:t>
        </w:r>
      </w:hyperlink>
    </w:p>
    <w:p w14:paraId="2D206CCB" w14:textId="77777777" w:rsidR="00BB3985" w:rsidRPr="00BB3985" w:rsidRDefault="00BB3985" w:rsidP="00BB3985">
      <w:r w:rsidRPr="00BB3985">
        <w:rPr>
          <w:b/>
          <w:bCs/>
        </w:rPr>
        <w:t>Resmi Kaynak:</w:t>
      </w:r>
    </w:p>
    <w:p w14:paraId="4FFA688F" w14:textId="77777777" w:rsidR="00BB3985" w:rsidRPr="00BB3985" w:rsidRDefault="00BB3985" w:rsidP="00BB3985">
      <w:r w:rsidRPr="00BB3985">
        <w:t xml:space="preserve">OECD (2025). </w:t>
      </w:r>
      <w:r w:rsidRPr="00BB3985">
        <w:rPr>
          <w:i/>
          <w:iCs/>
        </w:rPr>
        <w:t>Health at a Glance 2025: Türkiye.</w:t>
      </w:r>
      <w:r w:rsidRPr="00BB3985">
        <w:t xml:space="preserve"> </w:t>
      </w:r>
      <w:hyperlink r:id="rId24" w:history="1">
        <w:r w:rsidRPr="00BB3985">
          <w:rPr>
            <w:rStyle w:val="Kpr"/>
          </w:rPr>
          <w:t>https://doi.org/10.1787/8f9e3f98-en</w:t>
        </w:r>
      </w:hyperlink>
    </w:p>
    <w:p w14:paraId="548A145C" w14:textId="77777777" w:rsidR="00BB3985" w:rsidRPr="00BB3985" w:rsidRDefault="00BB3985" w:rsidP="00BB3985">
      <w:r w:rsidRPr="00BB3985">
        <w:pict w14:anchorId="3BADB42C">
          <v:rect id="_x0000_i1124" style="width:0;height:1.5pt" o:hralign="center" o:hrstd="t" o:hr="t" fillcolor="#a0a0a0" stroked="f"/>
        </w:pict>
      </w:r>
    </w:p>
    <w:p w14:paraId="503BE22A" w14:textId="77777777" w:rsidR="00BB3985" w:rsidRPr="00BB3985" w:rsidRDefault="00BB3985" w:rsidP="00BB3985">
      <w:pPr>
        <w:rPr>
          <w:b/>
          <w:bCs/>
        </w:rPr>
      </w:pPr>
      <w:r w:rsidRPr="00BB3985">
        <w:rPr>
          <w:b/>
          <w:bCs/>
        </w:rPr>
        <w:t xml:space="preserve">4. 65+ için 4x katsayısı </w:t>
      </w:r>
      <w:r w:rsidRPr="00BB3985">
        <w:rPr>
          <w:rFonts w:ascii="Segoe UI Emoji" w:hAnsi="Segoe UI Emoji" w:cs="Segoe UI Emoji"/>
          <w:b/>
          <w:bCs/>
        </w:rPr>
        <w:t>⚠️</w:t>
      </w:r>
      <w:r w:rsidRPr="00BB3985">
        <w:rPr>
          <w:b/>
          <w:bCs/>
        </w:rPr>
        <w:t xml:space="preserve"> KABACA DOĞRU ama tek bir resmi sayı değil, bir aralık</w:t>
      </w:r>
    </w:p>
    <w:p w14:paraId="24604FCF" w14:textId="77777777" w:rsidR="00BB3985" w:rsidRPr="00BB3985" w:rsidRDefault="00BB3985" w:rsidP="00BB3985">
      <w:r w:rsidRPr="00BB3985">
        <w:t xml:space="preserve">1990'ların ortasında OECD ülkelerinde 65 yaş üstü nüfusun kişi başı sağlık harcamasının 65 yaş altına oranının 2.7 ile 4.8 arasında değiştiği bildirilmiştir. Dolayısıyla "4.0x" bu aralığın orta noktasıdır, kesin bir DSÖ rakamı değildir. </w:t>
      </w:r>
      <w:hyperlink r:id="rId25" w:tgtFrame="_blank" w:history="1">
        <w:r w:rsidRPr="00BB3985">
          <w:rPr>
            <w:rStyle w:val="Kpr"/>
          </w:rPr>
          <w:t>Harvard</w:t>
        </w:r>
      </w:hyperlink>
    </w:p>
    <w:p w14:paraId="1DE276EB" w14:textId="77777777" w:rsidR="00BB3985" w:rsidRPr="00BB3985" w:rsidRDefault="00BB3985" w:rsidP="00BB3985">
      <w:r w:rsidRPr="00BB3985">
        <w:t xml:space="preserve">Daha güncel OECD verisi için: 65-84 yaş grubunun kişi başı harcaması, çoğu ülkede genel ortalamının 2 ila 2.5 katına ulaşmaktadır; 85+ grubunda ise bu oran Latvia'da 2.2 kattan Luxembourg'da 7.5 kata kadar çıkmaktadır. </w:t>
      </w:r>
      <w:hyperlink r:id="rId26" w:tgtFrame="_blank" w:history="1">
        <w:r w:rsidRPr="00BB3985">
          <w:rPr>
            <w:rStyle w:val="Kpr"/>
          </w:rPr>
          <w:t>OECD</w:t>
        </w:r>
      </w:hyperlink>
    </w:p>
    <w:p w14:paraId="13F8CA20" w14:textId="77777777" w:rsidR="00BB3985" w:rsidRPr="00BB3985" w:rsidRDefault="00BB3985" w:rsidP="00BB3985">
      <w:r w:rsidRPr="00BB3985">
        <w:rPr>
          <w:b/>
          <w:bCs/>
        </w:rPr>
        <w:t>Resmi Kaynak:</w:t>
      </w:r>
    </w:p>
    <w:p w14:paraId="4A6EDC4E" w14:textId="77777777" w:rsidR="00BB3985" w:rsidRPr="00BB3985" w:rsidRDefault="00BB3985" w:rsidP="00BB3985">
      <w:r w:rsidRPr="00BB3985">
        <w:t xml:space="preserve">Morgan &amp; Mueller (2023). </w:t>
      </w:r>
      <w:r w:rsidRPr="00BB3985">
        <w:rPr>
          <w:i/>
          <w:iCs/>
        </w:rPr>
        <w:t>OECD Health Working Papers No. 162.</w:t>
      </w:r>
      <w:r w:rsidRPr="00BB3985">
        <w:t xml:space="preserve"> </w:t>
      </w:r>
      <w:hyperlink r:id="rId27" w:history="1">
        <w:r w:rsidRPr="00BB3985">
          <w:rPr>
            <w:rStyle w:val="Kpr"/>
          </w:rPr>
          <w:t>https://doi.org/10.1787/043ed664-en</w:t>
        </w:r>
      </w:hyperlink>
    </w:p>
    <w:p w14:paraId="1A067C66" w14:textId="77777777" w:rsidR="00BB3985" w:rsidRPr="00BB3985" w:rsidRDefault="00BB3985" w:rsidP="00BB3985">
      <w:r w:rsidRPr="00BB3985">
        <w:pict w14:anchorId="11E5E077">
          <v:rect id="_x0000_i1125" style="width:0;height:1.5pt" o:hralign="center" o:hrstd="t" o:hr="t" fillcolor="#a0a0a0" stroked="f"/>
        </w:pict>
      </w:r>
    </w:p>
    <w:p w14:paraId="05DF034A" w14:textId="77777777" w:rsidR="00BB3985" w:rsidRPr="00BB3985" w:rsidRDefault="00BB3985" w:rsidP="00BB3985">
      <w:pPr>
        <w:rPr>
          <w:b/>
          <w:bCs/>
        </w:rPr>
      </w:pPr>
      <w:r w:rsidRPr="00BB3985">
        <w:rPr>
          <w:b/>
          <w:bCs/>
        </w:rPr>
        <w:t xml:space="preserve">5. 0-14 için 1.5x katsayısı </w:t>
      </w:r>
      <w:r w:rsidRPr="00BB3985">
        <w:rPr>
          <w:rFonts w:ascii="Segoe UI Emoji" w:hAnsi="Segoe UI Emoji" w:cs="Segoe UI Emoji"/>
          <w:b/>
          <w:bCs/>
        </w:rPr>
        <w:t>❌</w:t>
      </w:r>
      <w:r w:rsidRPr="00BB3985">
        <w:rPr>
          <w:b/>
          <w:bCs/>
        </w:rPr>
        <w:t xml:space="preserve"> YANLI</w:t>
      </w:r>
      <w:r w:rsidRPr="00BB3985">
        <w:rPr>
          <w:rFonts w:ascii="Aptos" w:hAnsi="Aptos" w:cs="Aptos"/>
          <w:b/>
          <w:bCs/>
        </w:rPr>
        <w:t>Ş</w:t>
      </w:r>
      <w:r w:rsidRPr="00BB3985">
        <w:rPr>
          <w:b/>
          <w:bCs/>
        </w:rPr>
        <w:t xml:space="preserve"> / ABARTILI</w:t>
      </w:r>
    </w:p>
    <w:p w14:paraId="578DE421" w14:textId="77777777" w:rsidR="00BB3985" w:rsidRPr="00BB3985" w:rsidRDefault="00BB3985" w:rsidP="00BB3985">
      <w:r w:rsidRPr="00BB3985">
        <w:t xml:space="preserve">Bu en sorunlu iddia. OECD'nin 15 ülke verisiyle hazırladığı yaşa göre harcama profiline göre 0-14, 15-29 ve 30-44 yaş gruplarının kişi başı harcaması, genel nüfus ortalamasının ALTINDA kalmaktadır. </w:t>
      </w:r>
      <w:hyperlink r:id="rId28" w:tgtFrame="_blank" w:history="1">
        <w:r w:rsidRPr="00BB3985">
          <w:rPr>
            <w:rStyle w:val="Kpr"/>
          </w:rPr>
          <w:t>OECD</w:t>
        </w:r>
      </w:hyperlink>
    </w:p>
    <w:p w14:paraId="7975B34E" w14:textId="77777777" w:rsidR="00BB3985" w:rsidRPr="00BB3985" w:rsidRDefault="00BB3985" w:rsidP="00BB3985">
      <w:r w:rsidRPr="00BB3985">
        <w:t xml:space="preserve">Yani 0-14 yaş grubu çalışan yaş grubundan (15-64) daha fazla değil, </w:t>
      </w:r>
      <w:r w:rsidRPr="00BB3985">
        <w:rPr>
          <w:b/>
          <w:bCs/>
        </w:rPr>
        <w:t>daha az</w:t>
      </w:r>
      <w:r w:rsidRPr="00BB3985">
        <w:t xml:space="preserve"> harcama tüketen gruptur. "1.5x daha fazla" iddiası literatürle çelişmektedir; 0-14 grubu sadece bebek döneminde yüksek harcamaya sahiptir, genel ortalama olarak değil.</w:t>
      </w:r>
    </w:p>
    <w:p w14:paraId="336CB810" w14:textId="77777777" w:rsidR="00BB3985" w:rsidRPr="00BB3985" w:rsidRDefault="00BB3985" w:rsidP="00BB3985">
      <w:r w:rsidRPr="00BB3985">
        <w:rPr>
          <w:b/>
          <w:bCs/>
        </w:rPr>
        <w:t>Makalende şöyle düzeltebilirsin:</w:t>
      </w:r>
      <w:r w:rsidRPr="00BB3985">
        <w:t xml:space="preserve"> 0-14 nüfusunu "düşük-orta talep" kriteri olarak değil, "gelecek sağlık talebi" veya aşılama/koruyucu hizmet talebi açısından ele alabilirsin.</w:t>
      </w:r>
    </w:p>
    <w:p w14:paraId="6CDE1A0C" w14:textId="77777777" w:rsidR="00BB3985" w:rsidRPr="00BB3985" w:rsidRDefault="00BB3985" w:rsidP="00BB3985">
      <w:r w:rsidRPr="00BB3985">
        <w:pict w14:anchorId="3AE0FEF6">
          <v:rect id="_x0000_i1126" style="width:0;height:1.5pt" o:hralign="center" o:hrstd="t" o:hr="t" fillcolor="#a0a0a0" stroked="f"/>
        </w:pict>
      </w:r>
    </w:p>
    <w:p w14:paraId="1F9A2F34" w14:textId="77777777" w:rsidR="00BB3985" w:rsidRPr="00BB3985" w:rsidRDefault="00BB3985" w:rsidP="00BB3985">
      <w:pPr>
        <w:rPr>
          <w:b/>
          <w:bCs/>
        </w:rPr>
      </w:pPr>
      <w:r w:rsidRPr="00BB3985">
        <w:rPr>
          <w:b/>
          <w:bCs/>
        </w:rPr>
        <w:t>Özet Tablo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4"/>
        <w:gridCol w:w="2831"/>
        <w:gridCol w:w="3177"/>
      </w:tblGrid>
      <w:tr w:rsidR="00BB3985" w:rsidRPr="00BB3985" w14:paraId="4E3F3BC3" w14:textId="77777777">
        <w:trPr>
          <w:tblHeader/>
          <w:tblCellSpacing w:w="15" w:type="dxa"/>
        </w:trPr>
        <w:tc>
          <w:tcPr>
            <w:tcW w:w="0" w:type="auto"/>
            <w:vAlign w:val="center"/>
            <w:hideMark/>
          </w:tcPr>
          <w:p w14:paraId="7911A6A5" w14:textId="77777777" w:rsidR="00BB3985" w:rsidRPr="00BB3985" w:rsidRDefault="00BB3985" w:rsidP="00BB3985">
            <w:pPr>
              <w:rPr>
                <w:b/>
                <w:bCs/>
              </w:rPr>
            </w:pPr>
            <w:r w:rsidRPr="00BB3985">
              <w:rPr>
                <w:b/>
                <w:bCs/>
              </w:rPr>
              <w:lastRenderedPageBreak/>
              <w:t>İddia</w:t>
            </w:r>
          </w:p>
        </w:tc>
        <w:tc>
          <w:tcPr>
            <w:tcW w:w="0" w:type="auto"/>
            <w:vAlign w:val="center"/>
            <w:hideMark/>
          </w:tcPr>
          <w:p w14:paraId="3532F018" w14:textId="77777777" w:rsidR="00BB3985" w:rsidRPr="00BB3985" w:rsidRDefault="00BB3985" w:rsidP="00BB3985">
            <w:pPr>
              <w:rPr>
                <w:b/>
                <w:bCs/>
              </w:rPr>
            </w:pPr>
            <w:r w:rsidRPr="00BB3985">
              <w:rPr>
                <w:b/>
                <w:bCs/>
              </w:rPr>
              <w:t>Durum</w:t>
            </w:r>
          </w:p>
        </w:tc>
        <w:tc>
          <w:tcPr>
            <w:tcW w:w="0" w:type="auto"/>
            <w:vAlign w:val="center"/>
            <w:hideMark/>
          </w:tcPr>
          <w:p w14:paraId="7E318EC6" w14:textId="77777777" w:rsidR="00BB3985" w:rsidRPr="00BB3985" w:rsidRDefault="00BB3985" w:rsidP="00BB3985">
            <w:pPr>
              <w:rPr>
                <w:b/>
                <w:bCs/>
              </w:rPr>
            </w:pPr>
            <w:r w:rsidRPr="00BB3985">
              <w:rPr>
                <w:b/>
                <w:bCs/>
              </w:rPr>
              <w:t>Gerçek Oran</w:t>
            </w:r>
          </w:p>
        </w:tc>
      </w:tr>
      <w:tr w:rsidR="00BB3985" w:rsidRPr="00BB3985" w14:paraId="4E0BD83D" w14:textId="77777777">
        <w:trPr>
          <w:tblCellSpacing w:w="15" w:type="dxa"/>
        </w:trPr>
        <w:tc>
          <w:tcPr>
            <w:tcW w:w="0" w:type="auto"/>
            <w:vAlign w:val="center"/>
            <w:hideMark/>
          </w:tcPr>
          <w:p w14:paraId="6AE48F2A" w14:textId="77777777" w:rsidR="00BB3985" w:rsidRPr="00BB3985" w:rsidRDefault="00BB3985" w:rsidP="00BB3985">
            <w:r w:rsidRPr="00BB3985">
              <w:t>4.45/1000 sağlık çalışanı eşiği</w:t>
            </w:r>
          </w:p>
        </w:tc>
        <w:tc>
          <w:tcPr>
            <w:tcW w:w="0" w:type="auto"/>
            <w:vAlign w:val="center"/>
            <w:hideMark/>
          </w:tcPr>
          <w:p w14:paraId="5D552A9A" w14:textId="77777777" w:rsidR="00BB3985" w:rsidRPr="00BB3985" w:rsidRDefault="00BB3985" w:rsidP="00BB3985">
            <w:r w:rsidRPr="00BB3985">
              <w:rPr>
                <w:rFonts w:ascii="Segoe UI Emoji" w:hAnsi="Segoe UI Emoji" w:cs="Segoe UI Emoji"/>
              </w:rPr>
              <w:t>✅</w:t>
            </w:r>
            <w:r w:rsidRPr="00BB3985">
              <w:t xml:space="preserve"> Doğru</w:t>
            </w:r>
          </w:p>
        </w:tc>
        <w:tc>
          <w:tcPr>
            <w:tcW w:w="0" w:type="auto"/>
            <w:vAlign w:val="center"/>
            <w:hideMark/>
          </w:tcPr>
          <w:p w14:paraId="275048F6" w14:textId="77777777" w:rsidR="00BB3985" w:rsidRPr="00BB3985" w:rsidRDefault="00BB3985" w:rsidP="00BB3985">
            <w:r w:rsidRPr="00BB3985">
              <w:t>Tam olarak 4.45</w:t>
            </w:r>
          </w:p>
        </w:tc>
      </w:tr>
      <w:tr w:rsidR="00BB3985" w:rsidRPr="00BB3985" w14:paraId="2F859EA7" w14:textId="77777777">
        <w:trPr>
          <w:tblCellSpacing w:w="15" w:type="dxa"/>
        </w:trPr>
        <w:tc>
          <w:tcPr>
            <w:tcW w:w="0" w:type="auto"/>
            <w:vAlign w:val="center"/>
            <w:hideMark/>
          </w:tcPr>
          <w:p w14:paraId="377371F4" w14:textId="77777777" w:rsidR="00BB3985" w:rsidRPr="00BB3985" w:rsidRDefault="00BB3985" w:rsidP="00BB3985">
            <w:r w:rsidRPr="00BB3985">
              <w:t>OECD yatak ort. 4.3/1000</w:t>
            </w:r>
          </w:p>
        </w:tc>
        <w:tc>
          <w:tcPr>
            <w:tcW w:w="0" w:type="auto"/>
            <w:vAlign w:val="center"/>
            <w:hideMark/>
          </w:tcPr>
          <w:p w14:paraId="62E776A7" w14:textId="77777777" w:rsidR="00BB3985" w:rsidRPr="00BB3985" w:rsidRDefault="00BB3985" w:rsidP="00BB3985">
            <w:r w:rsidRPr="00BB3985">
              <w:rPr>
                <w:rFonts w:ascii="Segoe UI Emoji" w:hAnsi="Segoe UI Emoji" w:cs="Segoe UI Emoji"/>
              </w:rPr>
              <w:t>✅</w:t>
            </w:r>
            <w:r w:rsidRPr="00BB3985">
              <w:t xml:space="preserve"> Doğru (2021), 4.2 (2025)</w:t>
            </w:r>
          </w:p>
        </w:tc>
        <w:tc>
          <w:tcPr>
            <w:tcW w:w="0" w:type="auto"/>
            <w:vAlign w:val="center"/>
            <w:hideMark/>
          </w:tcPr>
          <w:p w14:paraId="64BFDCC7" w14:textId="77777777" w:rsidR="00BB3985" w:rsidRPr="00BB3985" w:rsidRDefault="00BB3985" w:rsidP="00BB3985">
            <w:r w:rsidRPr="00BB3985">
              <w:t>4.3 → 4.2</w:t>
            </w:r>
          </w:p>
        </w:tc>
      </w:tr>
      <w:tr w:rsidR="00BB3985" w:rsidRPr="00BB3985" w14:paraId="328461A2" w14:textId="77777777">
        <w:trPr>
          <w:tblCellSpacing w:w="15" w:type="dxa"/>
        </w:trPr>
        <w:tc>
          <w:tcPr>
            <w:tcW w:w="0" w:type="auto"/>
            <w:vAlign w:val="center"/>
            <w:hideMark/>
          </w:tcPr>
          <w:p w14:paraId="342436C6" w14:textId="77777777" w:rsidR="00BB3985" w:rsidRPr="00BB3985" w:rsidRDefault="00BB3985" w:rsidP="00BB3985">
            <w:r w:rsidRPr="00BB3985">
              <w:t>Türkiye 3.0 yatak/1000</w:t>
            </w:r>
          </w:p>
        </w:tc>
        <w:tc>
          <w:tcPr>
            <w:tcW w:w="0" w:type="auto"/>
            <w:vAlign w:val="center"/>
            <w:hideMark/>
          </w:tcPr>
          <w:p w14:paraId="6C56160E" w14:textId="77777777" w:rsidR="00BB3985" w:rsidRPr="00BB3985" w:rsidRDefault="00BB3985" w:rsidP="00BB3985">
            <w:r w:rsidRPr="00BB3985">
              <w:rPr>
                <w:rFonts w:ascii="Segoe UI Emoji" w:hAnsi="Segoe UI Emoji" w:cs="Segoe UI Emoji"/>
              </w:rPr>
              <w:t>✅</w:t>
            </w:r>
            <w:r w:rsidRPr="00BB3985">
              <w:t xml:space="preserve"> Doğru</w:t>
            </w:r>
          </w:p>
        </w:tc>
        <w:tc>
          <w:tcPr>
            <w:tcW w:w="0" w:type="auto"/>
            <w:vAlign w:val="center"/>
            <w:hideMark/>
          </w:tcPr>
          <w:p w14:paraId="3D9905E8" w14:textId="77777777" w:rsidR="00BB3985" w:rsidRPr="00BB3985" w:rsidRDefault="00BB3985" w:rsidP="00BB3985">
            <w:r w:rsidRPr="00BB3985">
              <w:t>3.1 (güncel)</w:t>
            </w:r>
          </w:p>
        </w:tc>
      </w:tr>
      <w:tr w:rsidR="00BB3985" w:rsidRPr="00BB3985" w14:paraId="59711196" w14:textId="77777777">
        <w:trPr>
          <w:tblCellSpacing w:w="15" w:type="dxa"/>
        </w:trPr>
        <w:tc>
          <w:tcPr>
            <w:tcW w:w="0" w:type="auto"/>
            <w:vAlign w:val="center"/>
            <w:hideMark/>
          </w:tcPr>
          <w:p w14:paraId="1BA26137" w14:textId="77777777" w:rsidR="00BB3985" w:rsidRPr="00BB3985" w:rsidRDefault="00BB3985" w:rsidP="00BB3985">
            <w:r w:rsidRPr="00BB3985">
              <w:t>65+ = 4x harcama</w:t>
            </w:r>
          </w:p>
        </w:tc>
        <w:tc>
          <w:tcPr>
            <w:tcW w:w="0" w:type="auto"/>
            <w:vAlign w:val="center"/>
            <w:hideMark/>
          </w:tcPr>
          <w:p w14:paraId="3F783AE5" w14:textId="77777777" w:rsidR="00BB3985" w:rsidRPr="00BB3985" w:rsidRDefault="00BB3985" w:rsidP="00BB3985">
            <w:r w:rsidRPr="00BB3985">
              <w:rPr>
                <w:rFonts w:ascii="Segoe UI Emoji" w:hAnsi="Segoe UI Emoji" w:cs="Segoe UI Emoji"/>
              </w:rPr>
              <w:t>⚠️</w:t>
            </w:r>
            <w:r w:rsidRPr="00BB3985">
              <w:t xml:space="preserve"> Yaklaşık doğru</w:t>
            </w:r>
          </w:p>
        </w:tc>
        <w:tc>
          <w:tcPr>
            <w:tcW w:w="0" w:type="auto"/>
            <w:vAlign w:val="center"/>
            <w:hideMark/>
          </w:tcPr>
          <w:p w14:paraId="02783AB6" w14:textId="77777777" w:rsidR="00BB3985" w:rsidRPr="00BB3985" w:rsidRDefault="00BB3985" w:rsidP="00BB3985">
            <w:r w:rsidRPr="00BB3985">
              <w:t xml:space="preserve">Aralık: </w:t>
            </w:r>
            <w:r w:rsidRPr="00BB3985">
              <w:rPr>
                <w:b/>
                <w:bCs/>
              </w:rPr>
              <w:t>2.7 – 4.8x</w:t>
            </w:r>
          </w:p>
        </w:tc>
      </w:tr>
      <w:tr w:rsidR="00BB3985" w:rsidRPr="00BB3985" w14:paraId="70FD37BE" w14:textId="77777777">
        <w:trPr>
          <w:tblCellSpacing w:w="15" w:type="dxa"/>
        </w:trPr>
        <w:tc>
          <w:tcPr>
            <w:tcW w:w="0" w:type="auto"/>
            <w:vAlign w:val="center"/>
            <w:hideMark/>
          </w:tcPr>
          <w:p w14:paraId="61BC8D8C" w14:textId="77777777" w:rsidR="00BB3985" w:rsidRPr="00BB3985" w:rsidRDefault="00BB3985" w:rsidP="00BB3985">
            <w:r w:rsidRPr="00BB3985">
              <w:t>0-14 = 1.5x harcama</w:t>
            </w:r>
          </w:p>
        </w:tc>
        <w:tc>
          <w:tcPr>
            <w:tcW w:w="0" w:type="auto"/>
            <w:vAlign w:val="center"/>
            <w:hideMark/>
          </w:tcPr>
          <w:p w14:paraId="198F0D7A" w14:textId="77777777" w:rsidR="00BB3985" w:rsidRPr="00BB3985" w:rsidRDefault="00BB3985" w:rsidP="00BB3985">
            <w:r w:rsidRPr="00BB3985">
              <w:rPr>
                <w:rFonts w:ascii="Segoe UI Emoji" w:hAnsi="Segoe UI Emoji" w:cs="Segoe UI Emoji"/>
              </w:rPr>
              <w:t>❌</w:t>
            </w:r>
            <w:r w:rsidRPr="00BB3985">
              <w:t xml:space="preserve"> Yanlış</w:t>
            </w:r>
          </w:p>
        </w:tc>
        <w:tc>
          <w:tcPr>
            <w:tcW w:w="0" w:type="auto"/>
            <w:vAlign w:val="center"/>
            <w:hideMark/>
          </w:tcPr>
          <w:p w14:paraId="2004BE17" w14:textId="77777777" w:rsidR="00BB3985" w:rsidRPr="00BB3985" w:rsidRDefault="00BB3985" w:rsidP="00BB3985">
            <w:r w:rsidRPr="00BB3985">
              <w:t xml:space="preserve">0-14 ortalama </w:t>
            </w:r>
            <w:r w:rsidRPr="00BB3985">
              <w:rPr>
                <w:b/>
                <w:bCs/>
              </w:rPr>
              <w:t>altında</w:t>
            </w:r>
            <w:r w:rsidRPr="00BB3985">
              <w:t xml:space="preserve"> seyreder</w:t>
            </w:r>
          </w:p>
        </w:tc>
      </w:tr>
    </w:tbl>
    <w:p w14:paraId="3D50677D" w14:textId="77777777" w:rsidR="00BB3985" w:rsidRPr="00BB3985" w:rsidRDefault="00BB3985" w:rsidP="00BB3985">
      <w:pPr>
        <w:rPr>
          <w:b/>
          <w:bCs/>
        </w:rPr>
      </w:pPr>
      <w:r w:rsidRPr="00BB3985">
        <w:rPr>
          <w:b/>
          <w:bCs/>
        </w:rPr>
        <w:t>You said: 0-14 için ne peki?</w:t>
      </w:r>
    </w:p>
    <w:p w14:paraId="509EFCCD" w14:textId="77777777" w:rsidR="00BB3985" w:rsidRPr="00BB3985" w:rsidRDefault="00BB3985" w:rsidP="00BB3985">
      <w:r w:rsidRPr="00BB3985">
        <w:t>0-14 için ne peki? sayı</w:t>
      </w:r>
    </w:p>
    <w:p w14:paraId="7E552EDE" w14:textId="77777777" w:rsidR="00BB3985" w:rsidRPr="00BB3985" w:rsidRDefault="00BB3985" w:rsidP="00BB3985">
      <w:r w:rsidRPr="00BB3985">
        <w:t>22:23</w:t>
      </w:r>
    </w:p>
    <w:p w14:paraId="24F3F828" w14:textId="77777777" w:rsidR="00BB3985" w:rsidRPr="00BB3985" w:rsidRDefault="00BB3985" w:rsidP="00BB3985">
      <w:pPr>
        <w:rPr>
          <w:b/>
          <w:bCs/>
        </w:rPr>
      </w:pPr>
      <w:r w:rsidRPr="00BB3985">
        <w:rPr>
          <w:b/>
          <w:bCs/>
        </w:rPr>
        <w:t>Claude responded: Şimdi net bir cevap verebiliyorum.</w:t>
      </w:r>
    </w:p>
    <w:p w14:paraId="3E83D399" w14:textId="77777777" w:rsidR="00BB3985" w:rsidRPr="00BB3985" w:rsidRDefault="00BB3985" w:rsidP="00BB3985">
      <w:r w:rsidRPr="00BB3985">
        <w:t>Searched the web</w:t>
      </w:r>
    </w:p>
    <w:p w14:paraId="62596FD8" w14:textId="77777777" w:rsidR="00BB3985" w:rsidRPr="00BB3985" w:rsidRDefault="00BB3985" w:rsidP="00BB3985">
      <w:r w:rsidRPr="00BB3985">
        <w:t>Searched the web</w:t>
      </w:r>
    </w:p>
    <w:p w14:paraId="1C249474" w14:textId="77777777" w:rsidR="00BB3985" w:rsidRPr="00BB3985" w:rsidRDefault="00BB3985" w:rsidP="00BB3985">
      <w:r w:rsidRPr="00BB3985">
        <w:t>Şimdi net bir cevap verebiliyorum. İşte bulduklarım:</w:t>
      </w:r>
    </w:p>
    <w:p w14:paraId="425FD798" w14:textId="77777777" w:rsidR="00BB3985" w:rsidRPr="00BB3985" w:rsidRDefault="00BB3985" w:rsidP="00BB3985">
      <w:r w:rsidRPr="00BB3985">
        <w:pict w14:anchorId="64A1F304">
          <v:rect id="_x0000_i1127" style="width:0;height:1.5pt" o:hralign="center" o:hrstd="t" o:hr="t" fillcolor="#a0a0a0" stroked="f"/>
        </w:pict>
      </w:r>
    </w:p>
    <w:p w14:paraId="71DEB78F" w14:textId="77777777" w:rsidR="00BB3985" w:rsidRPr="00BB3985" w:rsidRDefault="00BB3985" w:rsidP="00BB3985">
      <w:pPr>
        <w:rPr>
          <w:b/>
          <w:bCs/>
        </w:rPr>
      </w:pPr>
      <w:r w:rsidRPr="00BB3985">
        <w:rPr>
          <w:b/>
          <w:bCs/>
        </w:rPr>
        <w:t>0-14 Yaş Grubu İçin Gerçek Oran</w:t>
      </w:r>
    </w:p>
    <w:p w14:paraId="0834E4E2" w14:textId="77777777" w:rsidR="00BB3985" w:rsidRPr="00BB3985" w:rsidRDefault="00BB3985" w:rsidP="00BB3985">
      <w:r w:rsidRPr="00BB3985">
        <w:t xml:space="preserve">OECD'nin 15 ülke verisiyle hazırladığı yaşa göre harcama profiline göre 0-14, 15-29 ve 30-44 yaş gruplarının kişi başı harcaması genel nüfus ortalamasının </w:t>
      </w:r>
      <w:r w:rsidRPr="00BB3985">
        <w:rPr>
          <w:b/>
          <w:bCs/>
        </w:rPr>
        <w:t>altında</w:t>
      </w:r>
      <w:r w:rsidRPr="00BB3985">
        <w:t xml:space="preserve"> kalmaktadır. </w:t>
      </w:r>
      <w:hyperlink r:id="rId29" w:tgtFrame="_blank" w:history="1">
        <w:r w:rsidRPr="00BB3985">
          <w:rPr>
            <w:rStyle w:val="Kpr"/>
          </w:rPr>
          <w:t>OECD</w:t>
        </w:r>
      </w:hyperlink>
    </w:p>
    <w:p w14:paraId="703D765C" w14:textId="77777777" w:rsidR="00BB3985" w:rsidRPr="00BB3985" w:rsidRDefault="00BB3985" w:rsidP="00BB3985">
      <w:r w:rsidRPr="00BB3985">
        <w:t xml:space="preserve">Yani katsayı </w:t>
      </w:r>
      <w:r w:rsidRPr="00BB3985">
        <w:rPr>
          <w:b/>
          <w:bCs/>
        </w:rPr>
        <w:t>1.5x değil, yaklaşık 0.5–0.7x</w:t>
      </w:r>
      <w:r w:rsidRPr="00BB3985">
        <w:t xml:space="preserve"> civarındadır. Daha somut olarak:</w:t>
      </w:r>
    </w:p>
    <w:p w14:paraId="00F29379" w14:textId="77777777" w:rsidR="00BB3985" w:rsidRPr="00BB3985" w:rsidRDefault="00BB3985" w:rsidP="00BB3985">
      <w:r w:rsidRPr="00BB3985">
        <w:t xml:space="preserve">OECD literatüründe, yaşlılara yapılan kişi başı harcama çocuklara yapılanın yaklaşık </w:t>
      </w:r>
      <w:r w:rsidRPr="00BB3985">
        <w:rPr>
          <w:b/>
          <w:bCs/>
        </w:rPr>
        <w:t>5 katı</w:t>
      </w:r>
      <w:r w:rsidRPr="00BB3985">
        <w:t xml:space="preserve"> olarak bildirilmektedir; 0-14 grubu çalışan yaşa kıyasla daha az, 65+ ise çok daha fazla harcama tüketmektedir. </w:t>
      </w:r>
      <w:hyperlink r:id="rId30" w:tgtFrame="_blank" w:history="1">
        <w:r w:rsidRPr="00BB3985">
          <w:rPr>
            <w:rStyle w:val="Kpr"/>
          </w:rPr>
          <w:t>OECD</w:t>
        </w:r>
      </w:hyperlink>
    </w:p>
    <w:p w14:paraId="751039BC" w14:textId="77777777" w:rsidR="00BB3985" w:rsidRPr="00BB3985" w:rsidRDefault="00BB3985" w:rsidP="00BB3985">
      <w:r w:rsidRPr="00BB3985">
        <w:t xml:space="preserve">Papanicolas ve ark. (2020) 8 yüksek gelirli ülkede 2015 yılı verilerine bakıldığında, 0-4 yaş grubunda harcama nispeten yüksek olup sonrasında düşmekte, 65 yaşından itibaren ise hızla artmaktadır. </w:t>
      </w:r>
      <w:hyperlink r:id="rId31" w:tgtFrame="_blank" w:history="1">
        <w:r w:rsidRPr="00BB3985">
          <w:rPr>
            <w:rStyle w:val="Kpr"/>
          </w:rPr>
          <w:t>nih</w:t>
        </w:r>
      </w:hyperlink>
    </w:p>
    <w:p w14:paraId="0A83C4A8" w14:textId="77777777" w:rsidR="00BB3985" w:rsidRPr="00BB3985" w:rsidRDefault="00BB3985" w:rsidP="00BB3985">
      <w:r w:rsidRPr="00BB3985">
        <w:pict w14:anchorId="33F4BD84">
          <v:rect id="_x0000_i1128" style="width:0;height:1.5pt" o:hralign="center" o:hrstd="t" o:hr="t" fillcolor="#a0a0a0" stroked="f"/>
        </w:pict>
      </w:r>
    </w:p>
    <w:p w14:paraId="7C1C1A7F" w14:textId="77777777" w:rsidR="00BB3985" w:rsidRPr="00BB3985" w:rsidRDefault="00BB3985" w:rsidP="00BB3985">
      <w:pPr>
        <w:rPr>
          <w:b/>
          <w:bCs/>
        </w:rPr>
      </w:pPr>
      <w:r w:rsidRPr="00BB3985">
        <w:rPr>
          <w:b/>
          <w:bCs/>
        </w:rPr>
        <w:t>Pratik Özet: Doğru Katsayılar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530"/>
        <w:gridCol w:w="2576"/>
        <w:gridCol w:w="2532"/>
      </w:tblGrid>
      <w:tr w:rsidR="00BB3985" w:rsidRPr="00BB3985" w14:paraId="7B53F246" w14:textId="77777777">
        <w:trPr>
          <w:tblHeader/>
          <w:tblCellSpacing w:w="15" w:type="dxa"/>
        </w:trPr>
        <w:tc>
          <w:tcPr>
            <w:tcW w:w="0" w:type="auto"/>
            <w:vAlign w:val="center"/>
            <w:hideMark/>
          </w:tcPr>
          <w:p w14:paraId="5D31868D" w14:textId="77777777" w:rsidR="00BB3985" w:rsidRPr="00BB3985" w:rsidRDefault="00BB3985" w:rsidP="00BB3985">
            <w:pPr>
              <w:rPr>
                <w:b/>
                <w:bCs/>
              </w:rPr>
            </w:pPr>
            <w:r w:rsidRPr="00BB3985">
              <w:rPr>
                <w:b/>
                <w:bCs/>
              </w:rPr>
              <w:lastRenderedPageBreak/>
              <w:t>Yaş Grubu</w:t>
            </w:r>
          </w:p>
        </w:tc>
        <w:tc>
          <w:tcPr>
            <w:tcW w:w="0" w:type="auto"/>
            <w:vAlign w:val="center"/>
            <w:hideMark/>
          </w:tcPr>
          <w:p w14:paraId="5003B859" w14:textId="77777777" w:rsidR="00BB3985" w:rsidRPr="00BB3985" w:rsidRDefault="00BB3985" w:rsidP="00BB3985">
            <w:pPr>
              <w:rPr>
                <w:b/>
                <w:bCs/>
              </w:rPr>
            </w:pPr>
            <w:r w:rsidRPr="00BB3985">
              <w:rPr>
                <w:b/>
                <w:bCs/>
              </w:rPr>
              <w:t>İddia Edilen</w:t>
            </w:r>
          </w:p>
        </w:tc>
        <w:tc>
          <w:tcPr>
            <w:tcW w:w="0" w:type="auto"/>
            <w:vAlign w:val="center"/>
            <w:hideMark/>
          </w:tcPr>
          <w:p w14:paraId="39C4021A" w14:textId="77777777" w:rsidR="00BB3985" w:rsidRPr="00BB3985" w:rsidRDefault="00BB3985" w:rsidP="00BB3985">
            <w:pPr>
              <w:rPr>
                <w:b/>
                <w:bCs/>
              </w:rPr>
            </w:pPr>
            <w:r w:rsidRPr="00BB3985">
              <w:rPr>
                <w:b/>
                <w:bCs/>
              </w:rPr>
              <w:t>Gerçek Oran</w:t>
            </w:r>
          </w:p>
        </w:tc>
        <w:tc>
          <w:tcPr>
            <w:tcW w:w="0" w:type="auto"/>
            <w:vAlign w:val="center"/>
            <w:hideMark/>
          </w:tcPr>
          <w:p w14:paraId="2F917C22" w14:textId="77777777" w:rsidR="00BB3985" w:rsidRPr="00BB3985" w:rsidRDefault="00BB3985" w:rsidP="00BB3985">
            <w:pPr>
              <w:rPr>
                <w:b/>
                <w:bCs/>
              </w:rPr>
            </w:pPr>
            <w:r w:rsidRPr="00BB3985">
              <w:rPr>
                <w:b/>
                <w:bCs/>
              </w:rPr>
              <w:t>Durum</w:t>
            </w:r>
          </w:p>
        </w:tc>
      </w:tr>
      <w:tr w:rsidR="00BB3985" w:rsidRPr="00BB3985" w14:paraId="7AE10671" w14:textId="77777777">
        <w:trPr>
          <w:tblCellSpacing w:w="15" w:type="dxa"/>
        </w:trPr>
        <w:tc>
          <w:tcPr>
            <w:tcW w:w="0" w:type="auto"/>
            <w:vAlign w:val="center"/>
            <w:hideMark/>
          </w:tcPr>
          <w:p w14:paraId="5E826409" w14:textId="77777777" w:rsidR="00BB3985" w:rsidRPr="00BB3985" w:rsidRDefault="00BB3985" w:rsidP="00BB3985">
            <w:r w:rsidRPr="00BB3985">
              <w:t>0-14</w:t>
            </w:r>
          </w:p>
        </w:tc>
        <w:tc>
          <w:tcPr>
            <w:tcW w:w="0" w:type="auto"/>
            <w:vAlign w:val="center"/>
            <w:hideMark/>
          </w:tcPr>
          <w:p w14:paraId="4B4489CE" w14:textId="77777777" w:rsidR="00BB3985" w:rsidRPr="00BB3985" w:rsidRDefault="00BB3985" w:rsidP="00BB3985">
            <w:r w:rsidRPr="00BB3985">
              <w:t>1.5x</w:t>
            </w:r>
          </w:p>
        </w:tc>
        <w:tc>
          <w:tcPr>
            <w:tcW w:w="0" w:type="auto"/>
            <w:vAlign w:val="center"/>
            <w:hideMark/>
          </w:tcPr>
          <w:p w14:paraId="1F678A31" w14:textId="77777777" w:rsidR="00BB3985" w:rsidRPr="00BB3985" w:rsidRDefault="00BB3985" w:rsidP="00BB3985">
            <w:r w:rsidRPr="00BB3985">
              <w:rPr>
                <w:b/>
                <w:bCs/>
              </w:rPr>
              <w:t>~0.5–0.7x</w:t>
            </w:r>
            <w:r w:rsidRPr="00BB3985">
              <w:t xml:space="preserve"> (ortalama altı)</w:t>
            </w:r>
          </w:p>
        </w:tc>
        <w:tc>
          <w:tcPr>
            <w:tcW w:w="0" w:type="auto"/>
            <w:vAlign w:val="center"/>
            <w:hideMark/>
          </w:tcPr>
          <w:p w14:paraId="622D31EC" w14:textId="77777777" w:rsidR="00BB3985" w:rsidRPr="00BB3985" w:rsidRDefault="00BB3985" w:rsidP="00BB3985">
            <w:r w:rsidRPr="00BB3985">
              <w:rPr>
                <w:rFonts w:ascii="Segoe UI Emoji" w:hAnsi="Segoe UI Emoji" w:cs="Segoe UI Emoji"/>
              </w:rPr>
              <w:t>❌</w:t>
            </w:r>
            <w:r w:rsidRPr="00BB3985">
              <w:t xml:space="preserve"> Yanlış</w:t>
            </w:r>
          </w:p>
        </w:tc>
      </w:tr>
      <w:tr w:rsidR="00BB3985" w:rsidRPr="00BB3985" w14:paraId="6341BDB3" w14:textId="77777777">
        <w:trPr>
          <w:tblCellSpacing w:w="15" w:type="dxa"/>
        </w:trPr>
        <w:tc>
          <w:tcPr>
            <w:tcW w:w="0" w:type="auto"/>
            <w:vAlign w:val="center"/>
            <w:hideMark/>
          </w:tcPr>
          <w:p w14:paraId="25C129D8" w14:textId="77777777" w:rsidR="00BB3985" w:rsidRPr="00BB3985" w:rsidRDefault="00BB3985" w:rsidP="00BB3985">
            <w:r w:rsidRPr="00BB3985">
              <w:t>15-64</w:t>
            </w:r>
          </w:p>
        </w:tc>
        <w:tc>
          <w:tcPr>
            <w:tcW w:w="0" w:type="auto"/>
            <w:vAlign w:val="center"/>
            <w:hideMark/>
          </w:tcPr>
          <w:p w14:paraId="7E6F02A1" w14:textId="77777777" w:rsidR="00BB3985" w:rsidRPr="00BB3985" w:rsidRDefault="00BB3985" w:rsidP="00BB3985">
            <w:r w:rsidRPr="00BB3985">
              <w:t>1.0x (referans)</w:t>
            </w:r>
          </w:p>
        </w:tc>
        <w:tc>
          <w:tcPr>
            <w:tcW w:w="0" w:type="auto"/>
            <w:vAlign w:val="center"/>
            <w:hideMark/>
          </w:tcPr>
          <w:p w14:paraId="03C4DF6A" w14:textId="77777777" w:rsidR="00BB3985" w:rsidRPr="00BB3985" w:rsidRDefault="00BB3985" w:rsidP="00BB3985">
            <w:r w:rsidRPr="00BB3985">
              <w:t>1.0x</w:t>
            </w:r>
          </w:p>
        </w:tc>
        <w:tc>
          <w:tcPr>
            <w:tcW w:w="0" w:type="auto"/>
            <w:vAlign w:val="center"/>
            <w:hideMark/>
          </w:tcPr>
          <w:p w14:paraId="32BBA1FA" w14:textId="77777777" w:rsidR="00BB3985" w:rsidRPr="00BB3985" w:rsidRDefault="00BB3985" w:rsidP="00BB3985">
            <w:r w:rsidRPr="00BB3985">
              <w:rPr>
                <w:rFonts w:ascii="Segoe UI Emoji" w:hAnsi="Segoe UI Emoji" w:cs="Segoe UI Emoji"/>
              </w:rPr>
              <w:t>✅</w:t>
            </w:r>
          </w:p>
        </w:tc>
      </w:tr>
      <w:tr w:rsidR="00BB3985" w:rsidRPr="00BB3985" w14:paraId="0917CB65" w14:textId="77777777">
        <w:trPr>
          <w:tblCellSpacing w:w="15" w:type="dxa"/>
        </w:trPr>
        <w:tc>
          <w:tcPr>
            <w:tcW w:w="0" w:type="auto"/>
            <w:vAlign w:val="center"/>
            <w:hideMark/>
          </w:tcPr>
          <w:p w14:paraId="6C17599C" w14:textId="77777777" w:rsidR="00BB3985" w:rsidRPr="00BB3985" w:rsidRDefault="00BB3985" w:rsidP="00BB3985">
            <w:r w:rsidRPr="00BB3985">
              <w:t>65-84</w:t>
            </w:r>
          </w:p>
        </w:tc>
        <w:tc>
          <w:tcPr>
            <w:tcW w:w="0" w:type="auto"/>
            <w:vAlign w:val="center"/>
            <w:hideMark/>
          </w:tcPr>
          <w:p w14:paraId="56D5B0DA" w14:textId="77777777" w:rsidR="00BB3985" w:rsidRPr="00BB3985" w:rsidRDefault="00BB3985" w:rsidP="00BB3985">
            <w:r w:rsidRPr="00BB3985">
              <w:t>—</w:t>
            </w:r>
          </w:p>
        </w:tc>
        <w:tc>
          <w:tcPr>
            <w:tcW w:w="0" w:type="auto"/>
            <w:vAlign w:val="center"/>
            <w:hideMark/>
          </w:tcPr>
          <w:p w14:paraId="5EEE8CB6" w14:textId="77777777" w:rsidR="00BB3985" w:rsidRPr="00BB3985" w:rsidRDefault="00BB3985" w:rsidP="00BB3985">
            <w:r w:rsidRPr="00BB3985">
              <w:rPr>
                <w:b/>
                <w:bCs/>
              </w:rPr>
              <w:t>2.0–2.5x</w:t>
            </w:r>
          </w:p>
        </w:tc>
        <w:tc>
          <w:tcPr>
            <w:tcW w:w="0" w:type="auto"/>
            <w:vAlign w:val="center"/>
            <w:hideMark/>
          </w:tcPr>
          <w:p w14:paraId="00990314" w14:textId="77777777" w:rsidR="00BB3985" w:rsidRPr="00BB3985" w:rsidRDefault="00BB3985" w:rsidP="00BB3985">
            <w:r w:rsidRPr="00BB3985">
              <w:t>(kaynak: OECD WP 162)</w:t>
            </w:r>
          </w:p>
        </w:tc>
      </w:tr>
      <w:tr w:rsidR="00BB3985" w:rsidRPr="00BB3985" w14:paraId="3622B7CE" w14:textId="77777777">
        <w:trPr>
          <w:tblCellSpacing w:w="15" w:type="dxa"/>
        </w:trPr>
        <w:tc>
          <w:tcPr>
            <w:tcW w:w="0" w:type="auto"/>
            <w:vAlign w:val="center"/>
            <w:hideMark/>
          </w:tcPr>
          <w:p w14:paraId="70E28CD9" w14:textId="77777777" w:rsidR="00BB3985" w:rsidRPr="00BB3985" w:rsidRDefault="00BB3985" w:rsidP="00BB3985">
            <w:r w:rsidRPr="00BB3985">
              <w:t>85+</w:t>
            </w:r>
          </w:p>
        </w:tc>
        <w:tc>
          <w:tcPr>
            <w:tcW w:w="0" w:type="auto"/>
            <w:vAlign w:val="center"/>
            <w:hideMark/>
          </w:tcPr>
          <w:p w14:paraId="3E425E26" w14:textId="77777777" w:rsidR="00BB3985" w:rsidRPr="00BB3985" w:rsidRDefault="00BB3985" w:rsidP="00BB3985">
            <w:r w:rsidRPr="00BB3985">
              <w:t>dahil 4.0x</w:t>
            </w:r>
          </w:p>
        </w:tc>
        <w:tc>
          <w:tcPr>
            <w:tcW w:w="0" w:type="auto"/>
            <w:vAlign w:val="center"/>
            <w:hideMark/>
          </w:tcPr>
          <w:p w14:paraId="1322BD09" w14:textId="77777777" w:rsidR="00BB3985" w:rsidRPr="00BB3985" w:rsidRDefault="00BB3985" w:rsidP="00BB3985">
            <w:r w:rsidRPr="00BB3985">
              <w:rPr>
                <w:b/>
                <w:bCs/>
              </w:rPr>
              <w:t>2.2–7.5x</w:t>
            </w:r>
            <w:r w:rsidRPr="00BB3985">
              <w:t xml:space="preserve"> (ülkeye göre)</w:t>
            </w:r>
          </w:p>
        </w:tc>
        <w:tc>
          <w:tcPr>
            <w:tcW w:w="0" w:type="auto"/>
            <w:vAlign w:val="center"/>
            <w:hideMark/>
          </w:tcPr>
          <w:p w14:paraId="36BAC4F5" w14:textId="77777777" w:rsidR="00BB3985" w:rsidRPr="00BB3985" w:rsidRDefault="00BB3985" w:rsidP="00BB3985">
            <w:r w:rsidRPr="00BB3985">
              <w:t>Aralık geniş</w:t>
            </w:r>
          </w:p>
        </w:tc>
      </w:tr>
    </w:tbl>
    <w:p w14:paraId="6CF23AA4" w14:textId="77777777" w:rsidR="00BB3985" w:rsidRPr="00BB3985" w:rsidRDefault="00BB3985" w:rsidP="00BB3985">
      <w:r w:rsidRPr="00BB3985">
        <w:pict w14:anchorId="4F173B5B">
          <v:rect id="_x0000_i1129" style="width:0;height:1.5pt" o:hralign="center" o:hrstd="t" o:hr="t" fillcolor="#a0a0a0" stroked="f"/>
        </w:pict>
      </w:r>
    </w:p>
    <w:p w14:paraId="23C0997F" w14:textId="77777777" w:rsidR="00BB3985" w:rsidRPr="00BB3985" w:rsidRDefault="00BB3985" w:rsidP="00BB3985">
      <w:pPr>
        <w:rPr>
          <w:b/>
          <w:bCs/>
        </w:rPr>
      </w:pPr>
      <w:r w:rsidRPr="00BB3985">
        <w:rPr>
          <w:b/>
          <w:bCs/>
        </w:rPr>
        <w:t>Makalene Nasıl Yansıtmalısın?</w:t>
      </w:r>
    </w:p>
    <w:p w14:paraId="2ECD509D" w14:textId="77777777" w:rsidR="00BB3985" w:rsidRPr="00BB3985" w:rsidRDefault="00BB3985" w:rsidP="00BB3985">
      <w:r w:rsidRPr="00BB3985">
        <w:t>0-14 nüfusunu TOPSIS'e dahil etmek istiyorsan, bunu "sağlık harcaması talebi" üzerinden değil, şu şekilde gerekçelendirebilirsin:</w:t>
      </w:r>
    </w:p>
    <w:p w14:paraId="159A68B6" w14:textId="77777777" w:rsidR="00BB3985" w:rsidRPr="00BB3985" w:rsidRDefault="00BB3985" w:rsidP="00BB3985">
      <w:pPr>
        <w:numPr>
          <w:ilvl w:val="0"/>
          <w:numId w:val="1"/>
        </w:numPr>
      </w:pPr>
      <w:r w:rsidRPr="00BB3985">
        <w:rPr>
          <w:b/>
          <w:bCs/>
        </w:rPr>
        <w:t>Aşılama ve koruyucu hizmet talebi</w:t>
      </w:r>
      <w:r w:rsidRPr="00BB3985">
        <w:t xml:space="preserve"> (bu meşru ve savunulabilir)</w:t>
      </w:r>
    </w:p>
    <w:p w14:paraId="5FAFC124" w14:textId="77777777" w:rsidR="00BB3985" w:rsidRPr="00BB3985" w:rsidRDefault="00BB3985" w:rsidP="00BB3985">
      <w:pPr>
        <w:numPr>
          <w:ilvl w:val="0"/>
          <w:numId w:val="1"/>
        </w:numPr>
      </w:pPr>
      <w:r w:rsidRPr="00BB3985">
        <w:rPr>
          <w:b/>
          <w:bCs/>
        </w:rPr>
        <w:t>Gelecekteki sağlık sistemine bağımlılık potansiyeli</w:t>
      </w:r>
    </w:p>
    <w:p w14:paraId="749176AA" w14:textId="77777777" w:rsidR="00BB3985" w:rsidRPr="00BB3985" w:rsidRDefault="00BB3985" w:rsidP="00BB3985">
      <w:pPr>
        <w:numPr>
          <w:ilvl w:val="0"/>
          <w:numId w:val="1"/>
        </w:numPr>
      </w:pPr>
      <w:r w:rsidRPr="00BB3985">
        <w:t xml:space="preserve">Ya da bu kriteri modelden çıkarıp yerine </w:t>
      </w:r>
      <w:r w:rsidRPr="00BB3985">
        <w:rPr>
          <w:b/>
          <w:bCs/>
        </w:rPr>
        <w:t>doğurganlık hızı</w:t>
      </w:r>
      <w:r w:rsidRPr="00BB3985">
        <w:t xml:space="preserve"> veya </w:t>
      </w:r>
      <w:r w:rsidRPr="00BB3985">
        <w:rPr>
          <w:b/>
          <w:bCs/>
        </w:rPr>
        <w:t>kronik hastalık prevalansı</w:t>
      </w:r>
      <w:r w:rsidRPr="00BB3985">
        <w:t xml:space="preserve"> gibi bir değişken koyabilirsin</w:t>
      </w:r>
    </w:p>
    <w:p w14:paraId="0B8249E1" w14:textId="77777777" w:rsidR="00BB3985" w:rsidRPr="00BB3985" w:rsidRDefault="00BB3985" w:rsidP="00BB3985">
      <w:r w:rsidRPr="00BB3985">
        <w:rPr>
          <w:b/>
          <w:bCs/>
        </w:rPr>
        <w:t>Kaynak:</w:t>
      </w:r>
      <w:r w:rsidRPr="00BB3985">
        <w:t xml:space="preserve"> Morgan &amp; Mueller (2023). </w:t>
      </w:r>
      <w:r w:rsidRPr="00BB3985">
        <w:rPr>
          <w:i/>
          <w:iCs/>
        </w:rPr>
        <w:t>OECD Health Working Papers No. 162.</w:t>
      </w:r>
      <w:r w:rsidRPr="00BB3985">
        <w:t xml:space="preserve"> </w:t>
      </w:r>
      <w:hyperlink r:id="rId32" w:history="1">
        <w:r w:rsidRPr="00BB3985">
          <w:rPr>
            <w:rStyle w:val="Kpr"/>
          </w:rPr>
          <w:t>https://doi.org/10.1787/043ed664-en</w:t>
        </w:r>
      </w:hyperlink>
      <w:r w:rsidRPr="00BB3985">
        <w:t xml:space="preserve"> </w:t>
      </w:r>
      <w:r w:rsidRPr="00BB3985">
        <w:rPr>
          <w:b/>
          <w:bCs/>
        </w:rPr>
        <w:t>Kaynak:</w:t>
      </w:r>
      <w:r w:rsidRPr="00BB3985">
        <w:t xml:space="preserve"> Papanicolas I. et al. (2020). </w:t>
      </w:r>
      <w:r w:rsidRPr="00BB3985">
        <w:rPr>
          <w:i/>
          <w:iCs/>
        </w:rPr>
        <w:t>Comparison of Health Care Spending by Age in 8 High-Income Countries.</w:t>
      </w:r>
      <w:r w:rsidRPr="00BB3985">
        <w:t xml:space="preserve"> JAMA Network Open. </w:t>
      </w:r>
      <w:hyperlink r:id="rId33" w:history="1">
        <w:r w:rsidRPr="00BB3985">
          <w:rPr>
            <w:rStyle w:val="Kpr"/>
          </w:rPr>
          <w:t>https://doi.org/10.1001/jamanetworkopen.2020.14688</w:t>
        </w:r>
      </w:hyperlink>
    </w:p>
    <w:p w14:paraId="3BD74891" w14:textId="77777777" w:rsidR="00C55BC9" w:rsidRDefault="00C55BC9"/>
    <w:sectPr w:rsidR="00C55B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0E1"/>
    <w:multiLevelType w:val="multilevel"/>
    <w:tmpl w:val="6AE8B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264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C11"/>
    <w:rsid w:val="00073C11"/>
    <w:rsid w:val="00260A4A"/>
    <w:rsid w:val="009337B6"/>
    <w:rsid w:val="00BB3985"/>
    <w:rsid w:val="00C502C7"/>
    <w:rsid w:val="00C55BC9"/>
    <w:rsid w:val="00CE4DA4"/>
    <w:rsid w:val="00D26C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396878-1BE7-4E42-B785-4890AF0D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7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7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73C1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73C1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73C1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73C1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73C1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73C1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73C1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73C1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73C1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73C1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73C1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73C1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73C1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73C1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73C1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73C11"/>
    <w:rPr>
      <w:rFonts w:eastAsiaTheme="majorEastAsia" w:cstheme="majorBidi"/>
      <w:color w:val="272727" w:themeColor="text1" w:themeTint="D8"/>
    </w:rPr>
  </w:style>
  <w:style w:type="paragraph" w:styleId="KonuBal">
    <w:name w:val="Title"/>
    <w:basedOn w:val="Normal"/>
    <w:next w:val="Normal"/>
    <w:link w:val="KonuBalChar"/>
    <w:uiPriority w:val="10"/>
    <w:qFormat/>
    <w:rsid w:val="0007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73C1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73C1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73C1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73C1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73C11"/>
    <w:rPr>
      <w:i/>
      <w:iCs/>
      <w:color w:val="404040" w:themeColor="text1" w:themeTint="BF"/>
    </w:rPr>
  </w:style>
  <w:style w:type="paragraph" w:styleId="ListeParagraf">
    <w:name w:val="List Paragraph"/>
    <w:basedOn w:val="Normal"/>
    <w:uiPriority w:val="34"/>
    <w:qFormat/>
    <w:rsid w:val="00073C11"/>
    <w:pPr>
      <w:ind w:left="720"/>
      <w:contextualSpacing/>
    </w:pPr>
  </w:style>
  <w:style w:type="character" w:styleId="GlVurgulama">
    <w:name w:val="Intense Emphasis"/>
    <w:basedOn w:val="VarsaylanParagrafYazTipi"/>
    <w:uiPriority w:val="21"/>
    <w:qFormat/>
    <w:rsid w:val="00073C11"/>
    <w:rPr>
      <w:i/>
      <w:iCs/>
      <w:color w:val="0F4761" w:themeColor="accent1" w:themeShade="BF"/>
    </w:rPr>
  </w:style>
  <w:style w:type="paragraph" w:styleId="GlAlnt">
    <w:name w:val="Intense Quote"/>
    <w:basedOn w:val="Normal"/>
    <w:next w:val="Normal"/>
    <w:link w:val="GlAlntChar"/>
    <w:uiPriority w:val="30"/>
    <w:qFormat/>
    <w:rsid w:val="0007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73C11"/>
    <w:rPr>
      <w:i/>
      <w:iCs/>
      <w:color w:val="0F4761" w:themeColor="accent1" w:themeShade="BF"/>
    </w:rPr>
  </w:style>
  <w:style w:type="character" w:styleId="GlBavuru">
    <w:name w:val="Intense Reference"/>
    <w:basedOn w:val="VarsaylanParagrafYazTipi"/>
    <w:uiPriority w:val="32"/>
    <w:qFormat/>
    <w:rsid w:val="00073C11"/>
    <w:rPr>
      <w:b/>
      <w:bCs/>
      <w:smallCaps/>
      <w:color w:val="0F4761" w:themeColor="accent1" w:themeShade="BF"/>
      <w:spacing w:val="5"/>
    </w:rPr>
  </w:style>
  <w:style w:type="character" w:styleId="Kpr">
    <w:name w:val="Hyperlink"/>
    <w:basedOn w:val="VarsaylanParagrafYazTipi"/>
    <w:uiPriority w:val="99"/>
    <w:unhideWhenUsed/>
    <w:rsid w:val="00BB3985"/>
    <w:rPr>
      <w:color w:val="467886" w:themeColor="hyperlink"/>
      <w:u w:val="single"/>
    </w:rPr>
  </w:style>
  <w:style w:type="character" w:styleId="zmlenmeyenBahsetme">
    <w:name w:val="Unresolved Mention"/>
    <w:basedOn w:val="VarsaylanParagrafYazTipi"/>
    <w:uiPriority w:val="99"/>
    <w:semiHidden/>
    <w:unhideWhenUsed/>
    <w:rsid w:val="00BB3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tent.sph.harvard.edu/wwwhsph/sites/1989/2020/01/HealthExpendituresAndTheElderly.pdf" TargetMode="External"/><Relationship Id="rId18" Type="http://schemas.openxmlformats.org/officeDocument/2006/relationships/hyperlink" Target="https://link.springer.com/article/10.1186/s12960-017-0187-2" TargetMode="External"/><Relationship Id="rId26" Type="http://schemas.openxmlformats.org/officeDocument/2006/relationships/hyperlink" Target="https://www.oecd.org/content/dam/oecd/en/publications/reports/2023/10/understanding-international-measures-of-health-spending_46b21613/043ed664-en.pdf" TargetMode="External"/><Relationship Id="rId3" Type="http://schemas.openxmlformats.org/officeDocument/2006/relationships/settings" Target="settings.xml"/><Relationship Id="rId21" Type="http://schemas.openxmlformats.org/officeDocument/2006/relationships/hyperlink" Target="https://www.oecd.org/en/publications/health-at-a-glance-2025_15a55280-en/turkiye_87675f02-en.html" TargetMode="External"/><Relationship Id="rId34" Type="http://schemas.openxmlformats.org/officeDocument/2006/relationships/fontTable" Target="fontTable.xml"/><Relationship Id="rId7" Type="http://schemas.openxmlformats.org/officeDocument/2006/relationships/hyperlink" Target="https://www.oecd.org/en/publications/2023/11/health-at-a-glance-2023_e04f8239/full-report/hospital-beds-and-occupancy_10add5df.html" TargetMode="External"/><Relationship Id="rId12" Type="http://schemas.openxmlformats.org/officeDocument/2006/relationships/hyperlink" Target="https://www.nber.org/bah/winter06/health-care-expenditures-oecd" TargetMode="External"/><Relationship Id="rId17" Type="http://schemas.openxmlformats.org/officeDocument/2006/relationships/hyperlink" Target="https://link.springer.com/article/10.1186/s12960-017-0187-2" TargetMode="External"/><Relationship Id="rId25" Type="http://schemas.openxmlformats.org/officeDocument/2006/relationships/hyperlink" Target="https://content.sph.harvard.edu/wwwhsph/sites/1989/2020/01/HealthExpendituresAndTheElderly.pdf" TargetMode="External"/><Relationship Id="rId33" Type="http://schemas.openxmlformats.org/officeDocument/2006/relationships/hyperlink" Target="https://doi.org/10.1001/jamanetworkopen.2020.14688" TargetMode="External"/><Relationship Id="rId2" Type="http://schemas.openxmlformats.org/officeDocument/2006/relationships/styles" Target="styles.xml"/><Relationship Id="rId16" Type="http://schemas.openxmlformats.org/officeDocument/2006/relationships/hyperlink" Target="https://doi.org/10.1787/043ed664-en" TargetMode="External"/><Relationship Id="rId20" Type="http://schemas.openxmlformats.org/officeDocument/2006/relationships/hyperlink" Target="https://www.oecd.org/en/publications/2023/11/health-at-a-glance-2023_e04f8239/full-report/hospital-beds-and-occupancy_10add5df.html" TargetMode="External"/><Relationship Id="rId29" Type="http://schemas.openxmlformats.org/officeDocument/2006/relationships/hyperlink" Target="https://www.oecd.org/content/dam/oecd/en/publications/reports/2023/10/understanding-international-measures-of-health-spending_46b21613/043ed664-en.pdf" TargetMode="External"/><Relationship Id="rId1" Type="http://schemas.openxmlformats.org/officeDocument/2006/relationships/numbering" Target="numbering.xml"/><Relationship Id="rId6" Type="http://schemas.openxmlformats.org/officeDocument/2006/relationships/hyperlink" Target="https://doi.org/10.1186/s12960-017-0187-2" TargetMode="External"/><Relationship Id="rId11" Type="http://schemas.openxmlformats.org/officeDocument/2006/relationships/hyperlink" Target="https://content.sph.harvard.edu/wwwhsph/sites/1989/2020/01/HealthExpendituresAndTheElderly.pdf" TargetMode="External"/><Relationship Id="rId24" Type="http://schemas.openxmlformats.org/officeDocument/2006/relationships/hyperlink" Target="https://doi.org/10.1787/8f9e3f98-en" TargetMode="External"/><Relationship Id="rId32" Type="http://schemas.openxmlformats.org/officeDocument/2006/relationships/hyperlink" Target="https://doi.org/10.1787/043ed664-en" TargetMode="External"/><Relationship Id="rId5" Type="http://schemas.openxmlformats.org/officeDocument/2006/relationships/hyperlink" Target="https://link.springer.com/article/10.1186/s12960-017-0187-2" TargetMode="External"/><Relationship Id="rId15" Type="http://schemas.openxmlformats.org/officeDocument/2006/relationships/hyperlink" Target="https://doi.org/10.1787/8f9e3f98-en" TargetMode="External"/><Relationship Id="rId23" Type="http://schemas.openxmlformats.org/officeDocument/2006/relationships/hyperlink" Target="https://www.oecd.org/en/publications/health-at-a-glance-2025_15a55280-en/turkiye_87675f02-en.html" TargetMode="External"/><Relationship Id="rId28" Type="http://schemas.openxmlformats.org/officeDocument/2006/relationships/hyperlink" Target="https://www.oecd.org/content/dam/oecd/en/publications/reports/2023/10/understanding-international-measures-of-health-spending_46b21613/043ed664-en.pdf" TargetMode="External"/><Relationship Id="rId10" Type="http://schemas.openxmlformats.org/officeDocument/2006/relationships/hyperlink" Target="https://www.oecd.org/en/publications/health-at-a-glance-2025_15a55280-en/turkiye_87675f02-en.html" TargetMode="External"/><Relationship Id="rId19" Type="http://schemas.openxmlformats.org/officeDocument/2006/relationships/hyperlink" Target="https://apps.who.int/iris/handle/10665/250368" TargetMode="External"/><Relationship Id="rId31" Type="http://schemas.openxmlformats.org/officeDocument/2006/relationships/hyperlink" Target="https://www.ncbi.nlm.nih.gov/pmc/articles/PMC7411536/" TargetMode="External"/><Relationship Id="rId4" Type="http://schemas.openxmlformats.org/officeDocument/2006/relationships/webSettings" Target="webSettings.xml"/><Relationship Id="rId9" Type="http://schemas.openxmlformats.org/officeDocument/2006/relationships/hyperlink" Target="https://doi.org/10.1787/7a7afb35-en" TargetMode="External"/><Relationship Id="rId14" Type="http://schemas.openxmlformats.org/officeDocument/2006/relationships/hyperlink" Target="https://doi.org/10.1787/7a7afb35-en" TargetMode="External"/><Relationship Id="rId22" Type="http://schemas.openxmlformats.org/officeDocument/2006/relationships/hyperlink" Target="https://doi.org/10.1787/7a7afb35-en" TargetMode="External"/><Relationship Id="rId27" Type="http://schemas.openxmlformats.org/officeDocument/2006/relationships/hyperlink" Target="https://doi.org/10.1787/043ed664-en" TargetMode="External"/><Relationship Id="rId30" Type="http://schemas.openxmlformats.org/officeDocument/2006/relationships/hyperlink" Target="https://www.oecd.org/content/dam/oecd/en/publications/reports/2023/10/understanding-international-measures-of-health-spending_46b21613/043ed664-en.pdf" TargetMode="External"/><Relationship Id="rId35" Type="http://schemas.openxmlformats.org/officeDocument/2006/relationships/theme" Target="theme/theme1.xml"/><Relationship Id="rId8" Type="http://schemas.openxmlformats.org/officeDocument/2006/relationships/hyperlink" Target="https://www.oecd.org/en/publications/health-at-a-glance-2025_15a55280-en/turkiye_87675f02-en.html"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1641</Words>
  <Characters>9355</Characters>
  <Application>Microsoft Office Word</Application>
  <DocSecurity>0</DocSecurity>
  <Lines>77</Lines>
  <Paragraphs>21</Paragraphs>
  <ScaleCrop>false</ScaleCrop>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Bedirhan Köksoy</dc:creator>
  <cp:keywords/>
  <dc:description/>
  <cp:lastModifiedBy>Bedirhan Köksoy</cp:lastModifiedBy>
  <cp:revision>2</cp:revision>
  <dcterms:created xsi:type="dcterms:W3CDTF">2026-05-11T19:29:00Z</dcterms:created>
  <dcterms:modified xsi:type="dcterms:W3CDTF">2026-05-11T19:29:00Z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6264a231-0b2e-4593-b6cb-34f9069d3dbc</vt:lpwstr>
  </property>
</Properties>
</file>