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5B21B6"/>
          <w:sz w:val="64"/>
          <w:szCs w:val="64"/>
        </w:rPr>
        <w:t xml:space="preserve">PatientFlow-AI</w:t>
      </w:r>
    </w:p>
    <w:p>
      <w:pPr>
        <w:spacing w:after="200"/>
      </w:pPr>
      <w:r>
        <w:rPr>
          <w:color w:val="374151"/>
          <w:sz w:val="32"/>
          <w:szCs w:val="32"/>
        </w:rPr>
        <w:t xml:space="preserve">Архитектура мультиагентной системы поддержки клинических решений и управления потоками пациентов</w:t>
      </w:r>
    </w:p>
    <w:p>
      <w:pPr>
        <w:pBdr>
          <w:bottom w:val="single" w:color="5B21B6" w:sz="8" w:space="6"/>
        </w:pBdr>
        <w:spacing w:after="400"/>
      </w:pPr>
    </w:p>
    <w:p>
      <w:pPr>
        <w:spacing w:after="120" w:line="276"/>
      </w:pPr>
      <w:r>
        <w:t xml:space="preserve">Технический документ: описание архитектуры и детальное описание компонентов</w:t>
      </w:r>
    </w:p>
    <w:p>
      <w:pPr>
        <w:spacing w:after="120" w:line="276"/>
      </w:pPr>
      <w:r>
        <w:t xml:space="preserve">Проект: совместный фундаментальный научный проект НИУ ВШЭ (Лаборатория социальной и когнитивной информатики) и Университета Низвы (AI Applications Chair)</w:t>
      </w:r>
    </w:p>
    <w:p>
      <w:pPr>
        <w:spacing w:after="120" w:line="276"/>
      </w:pPr>
      <w:r>
        <w:t xml:space="preserve">Основное клиническое направление: нефрология (ХБП, терминальная почечная недостаточность, диализ)</w:t>
      </w:r>
    </w:p>
    <w:p>
      <w:pPr>
        <w:spacing w:after="120" w:line="276"/>
      </w:pPr>
      <w:r>
        <w:t xml:space="preserve">Версия: 0.1 (черновик для обсуждения) · Октябрь 2026</w:t>
      </w:r>
    </w:p>
    <w:p>
      <w:pPr>
        <w:spacing w:before="1600"/>
      </w:pPr>
    </w:p>
    <w:p>
      <w:pPr>
        <w:pBdr>
          <w:left w:val="single" w:color="D97706" w:sz="18" w:space="8"/>
        </w:pBdr>
        <w:shd w:fill="FEF3C7" w:color="auto" w:val="clear"/>
        <w:spacing w:after="160" w:before="80" w:line="264"/>
        <w:ind w:left="170" w:right="170"/>
      </w:pPr>
      <w:r>
        <w:t xml:space="preserve">Документ является архитектурным наброском для обсуждения в команде и с партнёрами. Все клинические пороги, правила и примеры значений приведены как иллюстрации и подлежат утверждению врачами-нефрологами.</w:t>
      </w:r>
    </w:p>
    <w:p>
      <w:pPr>
        <w:pageBreakBefore/>
        <w:spacing w:after="200"/>
      </w:pPr>
      <w:r>
        <w:rPr>
          <w:b/>
          <w:bCs/>
          <w:color w:val="5B21B6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Если оглавление пустое, обновите его: правый клик → «Обновить поле» (в Word) или F9.</w:t>
      </w:r>
    </w:p>
    <w:p>
      <w:pPr>
        <w:pStyle w:val="Heading1"/>
        <w:pageBreakBefore/>
        <w:spacing w:after="200" w:before="360"/>
      </w:pPr>
      <w:r>
        <w:t xml:space="preserve">1. Назначение и область документа</w:t>
      </w:r>
    </w:p>
    <w:p>
      <w:pPr>
        <w:spacing w:after="120" w:line="276"/>
      </w:pPr>
      <w:r>
        <w:t xml:space="preserve">Документ описывает целевую архитектуру платформы PatientFlow-AI — многоязычной мультиагентной системы поддержки принятия врачебных решений (СППР), длительного мониторинга пациентов и управления потоками пациентов при хронических заболеваниях. Архитектура опирается на требования заявки (Форма 3): локальное развёртывание внутри медицинской организации, обязательный врачебный контроль клинически значимых выводов, детерминированная оценка срочности, клинический граф знаний, многоязычная обработка текстов (английский, арабский, в перспективе русский) и расширяемость на новые медицинские направления без изменения базовой инфраструктуры.</w:t>
      </w:r>
    </w:p>
    <w:p>
      <w:pPr>
        <w:pStyle w:val="Heading2"/>
      </w:pPr>
      <w:r>
        <w:t xml:space="preserve">1.1. Что входит в документ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Архитектурные принципы и общая схема системы.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Детальное описание каждого слоя: источники данных, хранилища, шина событий, координатор, агенты, механизмы разрешения противоречий и эскалации, интерфейсы, аудит.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Описание каждого из девяти агентов: назначение, входы, выходы, реализация, проверки качества, риски.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Нефункциональные требования: безопасность, конфиденциальность, воспроизводимость, производительность.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Технологический стек, требования к инфраструктуре, дорожная карта по годам проекта, риски и открытые вопросы.</w:t>
      </w:r>
    </w:p>
    <w:p>
      <w:pPr>
        <w:pStyle w:val="Heading2"/>
      </w:pPr>
      <w:r>
        <w:t xml:space="preserve">1.2. Чего в документе нет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Утверждённых клинических правил и порогов: они разрабатываются совместно с нефрологами Бушарского почечного центра и OSNT.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Детальных схем базы данных и API: они будут оформлены отдельными спецификациями на этапе реализации.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Регуляторного анализа (SaMD, требования Омана и РФ): требуется отдельная проработка.</w:t>
      </w:r>
    </w:p>
    <w:p>
      <w:pPr>
        <w:pStyle w:val="Heading2"/>
      </w:pPr>
      <w:r>
        <w:t xml:space="preserve">1.3. Термины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Агент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Модуль системы с ограниченной клинической функцией и строгим контрактом входа/выхода. Агент может быть детерминированным (код, правила), статистическим (ML-модель) или генеративным (LLM).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Координатор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Компонент, который по событию запускает сценарий обработки, вызывает агентов в нужном порядке, собирает их результаты, применяет правила разрешения противоречий и передаёт итог врачу.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Случай (case)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Единица работы координатора: одно клинически значимое событие по одному пациенту (новый анализ, сообщение пациента, плановая проверка) со всеми результатами обработки.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Сценарий (workflow)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Описанная в коде последовательность шагов обработки случая определённого типа.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Уровень срочности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Категория L0–L3, определяемая детерминированными правилами; задаёт реакцию системы и сроки врачебного пересмотра.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Red flag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Признак потенциально опасного состояния, требующий немедленной эскалации независимо от остальных результатов.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Пакет направления (domain pack)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Набор конфигураций, правил, моделей, подграфа знаний, опросников и промптов для одного медицинского направления.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Evidence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Ссылка на первичные данные (FHIR-ресурс, фрагмент текста, точку временного ряда), на которых основан вывод.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HITL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Human-in-the-loop: обязательное участие врача в принятии клинически значимого решения.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2. Архитектурные принципы</w:t>
      </w:r>
    </w:p>
    <w:p>
      <w:pPr>
        <w:spacing w:after="120" w:line="276"/>
      </w:pPr>
      <w:r>
        <w:t xml:space="preserve">Принципы вытекают из научной концепции проекта: генеративные модели используются как уровень взаимодействия и интерпретации, а клинически значимые результаты формируются комбинацией предиктивной аналитики, формализованных правил и детерминированной логики.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Детерминированное ядро, LLM по краям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применяются только для извлечения информации из текстов, диалога с пациентом и формулирования объяснений. Решения о срочности, эскалации и разрешении противоречий принимаются кодом и правилами. Это обеспечивает воспроизводимость и проверяемость.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Строгий контракт агента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Каждый агент принимает структурированные данные и возвращает объект единой схемы AgentResult. Свободный текст между агентами не передаётся. Выход LLM-агентов принудительно ограничивается JSON-схемой.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«Нет данных» ≠ «норма»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Отсутствие, устаревание или неправдоподобность данных — отдельное явное состояние (insufficient_data), которое само может приводить к эскалации или задаче на сбор данных.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Безопасность важнее согласия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 срабатывании любого утверждённого правила безопасности итоговая срочность не может быть ниже уровня, заданного этим правилом, независимо от других агентов.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Врач принимает решение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Система формирует рекомендации и приоритеты, но не назначает лечение. Все выводы уровня L1 и выше проходят через рабочий список врача.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Полная воспроизводимость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Для каждого вывода фиксируются снимок входных данных и версии кода, моделей, промптов, правил и графа знаний. Любой исторический случай можно повторно обработать.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Локальность данных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Все компоненты, включая LLM, работают в контуре медицинской организации. Внешние сетевые вызовы из агентов запрещены на уровне сети.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Расширяемость через пакеты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Ядро не зависит от медицинского направления. Новое направление подключается пакетом конфигураций без изменения кода ядра.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Стандарты вместо собственных форматов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Клинические данные хранятся и передаются в FHIR R4; терминология — SNOMED CT, ICD-11, LOINC; интеграция с ЭМК — CDS Hooks.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360"/>
      </w:pPr>
      <w:r>
        <w:t xml:space="preserve">3. Общая схема системы</w:t>
      </w:r>
    </w:p>
    <w:p>
      <w:pPr>
        <w:spacing w:after="120" w:line="276"/>
      </w:pPr>
      <w:r>
        <w:t xml:space="preserve">Система состоит из пяти крупных частей: (1) источники данных и интеграционный слой; (2) хранилища клинических данных и знаний; (3) координатор со слоями агентов; (4) интерфейсы для врачей и пациентов; (5) сквозные сервисы — локальные LLM, аудит, наблюдаемость, безопасность.</w:t>
      </w:r>
    </w:p>
    <w:p>
      <w:pPr>
        <w:jc w:val="center"/>
      </w:pPr>
      <w:r>
        <w:drawing>
          <wp:inline distT="0" distB="0" distL="0" distR="0">
            <wp:extent cx="6096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Рисунок 1. Общая архитектура PatientFlow-AI</w:t>
      </w:r>
    </w:p>
    <w:p>
      <w:pPr>
        <w:pStyle w:val="Heading2"/>
      </w:pPr>
      <w:r>
        <w:t xml:space="preserve">3.1. Поток обработки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Событие из источника (новый анализ, диализная сессия, сообщение пациента, заметка врача, таймер планового контроля) нормализуется интеграционным слоем, сохраняется в FHIR-хранилище и публикуется в шину событий.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Координатор создаёт случай и запускает сценарий, соответствующий типу события.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Слой 1 готовит данные: A1 извлекает структуру из текстов, A2 проверяет полноту и правдоподобие данных.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Слой 2 параллельно анализирует состояние: A3 прогнозирует риски, A4 выявляет тренды, A5 проверяет соответствие клиническим ограничениям графа знаний, A6 оценивает соблюдение диеты и водного режима.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Слой 3 детерминированно разрешает противоречия и определяет уровень срочности (A7).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Слой 4 формирует объяснение для врача (A8) со ссылками на первичные данные и автоматической проверкой.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Случай попадает в рабочий список врача; действие врача (принять, изменить, отклонить) фиксируется в аудите и пополняет размеченный датасет.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Параллельно агент A9 ведёт диалог с пациентом; обнаруженные red flags немедленно эскалируются по отдельному каналу.</w:t>
      </w:r>
    </w:p>
    <w:p>
      <w:pPr>
        <w:pStyle w:val="Heading2"/>
      </w:pPr>
      <w:r>
        <w:t xml:space="preserve">3.2. Слои и их ответственность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Интеграция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Адаптеры HIS/ЛИС/диализа, API приложения пациента, шина событий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Получение, нормализация в FHIR, публикация событий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Данные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FHIR-хранилище, PostgreSQL + TimescaleDB, граф знаний, pgvector, объектное хранилище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Хранение клинических данных, временных рядов, знаний, документов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Координация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Temporal: сценарии, таймеры, повторы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Порядок вызова агентов, состояние случая, длительный мониторинг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Агенты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A1–A9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Ограниченные клинические функции по единому контракту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Разрешение противоречий, A7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Детерминированный итог и уровень срочности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Интерфейсы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Рабочий список врача, приложение пациента, интеграция с ЭМК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Взаимодействие с людьми и внешними системами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Сквозные сервисы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vLLM + LiteLLM, Langfuse, журнал аудита, IAM, мониторинг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LLM-инференс, трассировка, аудит, безопасность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4. Источники данных и интеграционный слой</w:t>
      </w:r>
    </w:p>
    <w:p>
      <w:pPr>
        <w:pStyle w:val="Heading2"/>
      </w:pPr>
      <w:r>
        <w:t xml:space="preserve">4.1. Источники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900"/>
        <w:gridCol w:w="18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Формат и способ получения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Частота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HIS / ЭМК больницы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Демография, диагнозы, назначения, госпитализации, заметки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FHIR API (предпочтительно) или HL7 v2 через движок интеграции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События в реальном времени или пакетно раз в сутки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Лабораторная система (ЛИС)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eGFR, креатинин, K⁺, Na⁺, фосфор, кальций, ПТГ, Hb, альбумин, uACR, Kt/V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HL7 v2 ORU или FHIR Observation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 мере готовности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Диализные аппараты / журнал диализа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Вес до/после, прибавка веса между сеансами (IDWG), АД, длительность, осложнения на сеансе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Экспорт из системы диализного отделения, CSV или API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Каждый сеанс (обычно 3 раза в неделю)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Приложение пациента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Симптомы, вес, АД, потребление жидкости, питание, приём препаратов, опросники качества жизни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REST API платформы → FHIR QuestionnaireResponse / Observation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Ежедневно и по событию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Заметки врачей и сестёр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Неструктурированный текст на английском и арабском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Через ЭМК (FHIR DocumentReference) или выгрузка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 мере создания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Национальный нефрологический регистр Омана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Исторические лонгитюдные данные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Пакетная выгрузка для обучения и валидации моделей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Разово / периодически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Открытые датасеты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MIMIC-IV, eICU и др. для года 1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Локальная загрузка после получения доступа</w:t>
            </w:r>
          </w:p>
        </w:tc>
        <w:tc>
          <w:tcPr>
            <w:tcW w:type="dxa" w:w="1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Разово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Интеграционный слой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Адаптеры источников</w:t>
      </w:r>
      <w:r>
        <w:t xml:space="preserve"> — отдельные сервисы на каждый тип источника. Каждый адаптер преобразует данные в ресурсы FHIR R4 (Patient, Observation, Condition, MedicationRequest, Encounter, Procedure, DocumentReference, QuestionnaireResponse) с кодами LOINC/SNOMED CT/ICD-11.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Движок HL7 v2</w:t>
      </w:r>
      <w:r>
        <w:t xml:space="preserve"> (Mirth Connect / Open Integration Engine) — для больниц без FHIR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Обезличивание</w:t>
      </w:r>
      <w:r>
        <w:t xml:space="preserve"> на входе для исследовательского контура: Microsoft Presidio с дообученными распознавателями для арабского языка; для клинического контура данные остаются идентифицируемыми, но доступ ограничивается ролями.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Идемпотентность</w:t>
      </w:r>
      <w:r>
        <w:t xml:space="preserve">: каждое входящее сообщение имеет уникальный идентификатор; повторная доставка не создаёт дубликатов.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Валидация на входе</w:t>
      </w:r>
      <w:r>
        <w:t xml:space="preserve">: проверка схемы FHIR, единиц измерения (UCUM), допустимых диапазонов. Неправдоподобные значения не отбрасываются, а помечаются для агента A2.</w:t>
      </w:r>
    </w:p>
    <w:p>
      <w:pPr>
        <w:pStyle w:val="Heading2"/>
      </w:pPr>
      <w:r>
        <w:t xml:space="preserve">4.3. Шина событий</w:t>
      </w:r>
    </w:p>
    <w:p>
      <w:pPr>
        <w:spacing w:after="120" w:line="276"/>
      </w:pPr>
      <w:r>
        <w:t xml:space="preserve">Шина связывает интеграционный слой и координатор. Для пилота достаточно Redis Streams или очереди на PostgreSQL; при росте нагрузки — Apache Kafka.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Тип события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Запускаемый сценарий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lab.result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Новый результат K⁺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lab_result_workflow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dialysis.session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Завершён сеанс диализа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dialysis_session_workflow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patient.report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Пациент внёс вес, симптомы, питание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patient_report_workflow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patient.message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Сообщение пациента в чате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patient_dialogue_workflow (A9)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clinical.note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Новая заметка врача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note_extraction_workflow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schedule.tick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Плановая проверка пациента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periodic_review_workflow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patient.silence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Пациент не передаёт данные N дней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engagement_workflow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5. Слой данных</w:t>
      </w:r>
    </w:p>
    <w:p>
      <w:pPr>
        <w:pStyle w:val="Heading2"/>
      </w:pPr>
      <w:r>
        <w:t xml:space="preserve">5.1. FHIR-хранилище</w:t>
      </w:r>
    </w:p>
    <w:p>
      <w:pPr>
        <w:spacing w:after="120" w:line="276"/>
      </w:pPr>
      <w:r>
        <w:t xml:space="preserve">Основной источник истины для клинических данных. Кандидаты: </w:t>
      </w:r>
      <w:r>
        <w:rPr>
          <w:b/>
          <w:bCs/>
        </w:rPr>
        <w:t xml:space="preserve">Medplum</w:t>
      </w:r>
      <w:r>
        <w:t xml:space="preserve"> (Apache-2.0, TypeScript, встроенные React-компоненты для медицинских интерфейсов, серверная логика Bots) или </w:t>
      </w:r>
      <w:r>
        <w:rPr>
          <w:b/>
          <w:bCs/>
        </w:rPr>
        <w:t xml:space="preserve">HAPI FHIR</w:t>
      </w:r>
      <w:r>
        <w:t xml:space="preserve"> (Apache-2.0, Java, эталонная реализация). Выбор делается после проверки совместимости с HIS партнёра.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Хранит ресурсы FHIR R4 с историей версий каждого ресурса.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Даёт стандартный API для агентов, интерфейсов и интеграции с ЭМК.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Поддерживает подписки (FHIR Subscriptions) как дополнительный источник событий.</w:t>
      </w:r>
    </w:p>
    <w:p>
      <w:pPr>
        <w:pStyle w:val="Heading2"/>
      </w:pPr>
      <w:r>
        <w:t xml:space="preserve">5.2. PostgreSQL + TimescaleDB</w:t>
      </w:r>
    </w:p>
    <w:p>
      <w:pPr>
        <w:spacing w:after="120" w:line="276"/>
      </w:pPr>
      <w:r>
        <w:t xml:space="preserve">Операционная база платформы и хранилище временных рядов. Хранит денормализованные ряды лабораторных показателей, диализных параметров и данных пациента для быстрого анализа агентами A3, A4, A6; состояние случаев и рабочего списка врача; результаты агентов (AgentResult); журнал аудита (отдельная схема с правами только на добавление).</w:t>
      </w:r>
    </w:p>
    <w:p>
      <w:pPr>
        <w:pStyle w:val="Heading2"/>
      </w:pPr>
      <w:r>
        <w:t xml:space="preserve">5.3. Граф знаний</w:t>
      </w:r>
    </w:p>
    <w:p>
      <w:pPr>
        <w:spacing w:after="120" w:line="276"/>
      </w:pPr>
      <w:r>
        <w:t xml:space="preserve">Neo4j или Memgraph (альтернатива — RDF-хранилище GraphDB / Apache Jena Fuseki). Подробно описан в разделе 10.</w:t>
      </w:r>
    </w:p>
    <w:p>
      <w:pPr>
        <w:pStyle w:val="Heading2"/>
      </w:pPr>
      <w:r>
        <w:t xml:space="preserve">5.4. Векторное хранилище</w:t>
      </w:r>
    </w:p>
    <w:p>
      <w:pPr>
        <w:spacing w:after="120" w:line="276"/>
      </w:pPr>
      <w:r>
        <w:t xml:space="preserve">pgvector внутри того же PostgreSQL. Используется для поиска по клиническим рекомендациям (KDIGO, ВОЗ, локальные протоколы) при формировании объяснений A8 и для поиска похожих фрагментов в заметках. Эмбеддинги вычисляются локальной моделью (например, multilingual-e5 или BGE-M3 с поддержкой арабского).</w:t>
      </w:r>
    </w:p>
    <w:p>
      <w:pPr>
        <w:pStyle w:val="Heading2"/>
      </w:pPr>
      <w:r>
        <w:t xml:space="preserve">5.5. Объектное хранилище</w:t>
      </w:r>
    </w:p>
    <w:p>
      <w:pPr>
        <w:spacing w:after="120" w:line="276"/>
      </w:pPr>
      <w:r>
        <w:t xml:space="preserve">MinIO (S3-совместимое) для исходных документов, снимков входных данных случаев (для воспроизведения), артефактов моделей и выгрузок датасетов.</w:t>
      </w:r>
    </w:p>
    <w:p>
      <w:pPr>
        <w:pStyle w:val="Heading2"/>
      </w:pPr>
      <w:r>
        <w:t xml:space="preserve">5.6. Разделение контуров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Контур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Доступ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Клинический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Идентифицируемые данные пациентов для работы системы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Только сервисы платформы и врачи по ролям; физически в больнице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Исследовательский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Обезличенные выгрузки для обучения моделей и публикаций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Исследователи ВШЭ и Низвы по соглашению об использовании данных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Знания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Граф знаний, рекомендации, правила, промпты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Открыто для команды; изменения через процесс утверждения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6. Координатор</w:t>
      </w:r>
    </w:p>
    <w:p>
      <w:pPr>
        <w:spacing w:after="120" w:line="276"/>
      </w:pPr>
      <w:r>
        <w:t xml:space="preserve">Координатор — центральный компонент ядра и основной предмет научной новизны проекта. Он реализует контролируемую клиническую логику взаимодействия агентов.</w:t>
      </w:r>
    </w:p>
    <w:p>
      <w:pPr>
        <w:pStyle w:val="Heading2"/>
      </w:pPr>
      <w:r>
        <w:t xml:space="preserve">6.1. Выбор технологии</w:t>
      </w:r>
    </w:p>
    <w:p>
      <w:pPr>
        <w:spacing w:after="120" w:line="276"/>
      </w:pPr>
      <w:r>
        <w:t xml:space="preserve">Рекомендуется </w:t>
      </w:r>
      <w:r>
        <w:rPr>
          <w:b/>
          <w:bCs/>
        </w:rPr>
        <w:t xml:space="preserve">Temporal</w:t>
      </w:r>
      <w:r>
        <w:t xml:space="preserve"> (open source, MIT, Python SDK). Ключевые свойства для проекта: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Надёжные долгоживущие сценарии</w:t>
      </w:r>
      <w:r>
        <w:t xml:space="preserve">: мониторинг пациента длится неделями и месяцами; Temporal хранит состояние сценария и переживает перезапуски.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Встроенные таймеры</w:t>
      </w:r>
      <w:r>
        <w:t xml:space="preserve">: «если пациент 3 дня не передаёт вес — напомнить, через 2 дня — поднять уровень» описывается обычным кодом.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Автоматические повторы</w:t>
      </w:r>
      <w:r>
        <w:t xml:space="preserve"> при сбоях агентов с настраиваемой политикой.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Полная история выполнения</w:t>
      </w:r>
      <w:r>
        <w:t xml:space="preserve"> каждого сценария — основа для аудита.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Детерминизм сценариев</w:t>
      </w:r>
      <w:r>
        <w:t xml:space="preserve">: код сценария обязан быть детерминированным, недетерминированные действия (вызовы агентов) выносятся в activities. Это прямо соответствует принципу «детерминированное ядро».</w:t>
      </w:r>
    </w:p>
    <w:p>
      <w:pPr>
        <w:spacing w:after="120" w:line="276"/>
      </w:pPr>
      <w:r>
        <w:t xml:space="preserve">Для диалога с пациентом (A9) внутри шага сценария допускается LangGraph как библиотека управления диалогом. Альтернатива Temporal для очень раннего прототипа — собственный конвейер на Python с очередью в PostgreSQL, с последующей миграцией.</w:t>
      </w:r>
    </w:p>
    <w:p>
      <w:pPr>
        <w:pStyle w:val="Heading2"/>
      </w:pPr>
      <w:r>
        <w:t xml:space="preserve">6.2. Модель случая</w:t>
      </w:r>
    </w:p>
    <w:p>
      <w:pPr>
        <w:pBdr>
          <w:top w:val="single" w:color="F3F4F6" w:sz="2" w:space="4"/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Case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case_id            UUID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patient_id         FHIR Patient id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domain             "nephrology"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trigger            тип и id исходного события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workflow           имя и версия сценария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status             open | awaiting_review | resolved | closed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agent_results      [AgentResult]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resolution         итог разрешения противоречий (+ сработавшие правила)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severity           L0 | L1 | L2 | L3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explanation        текст A8 + evidence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clinician_action   accept | modify | reject + комментарий + кто + когда</w:t>
      </w:r>
    </w:p>
    <w:p>
      <w:pPr>
        <w:pBdr>
          <w:left w:val="single" w:color="A78BFA" w:sz="12" w:space="6"/>
          <w:bottom w:val="single" w:color="F3F4F6" w:sz="2" w:space="4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created_at, updated_at</w:t>
      </w:r>
    </w:p>
    <w:p>
      <w:pPr>
        <w:spacing w:after="80"/>
      </w:pPr>
    </w:p>
    <w:p>
      <w:pPr>
        <w:pStyle w:val="Heading2"/>
      </w:pPr>
      <w:r>
        <w:t xml:space="preserve">6.3. Пример сценария: новый результат анализа</w:t>
      </w:r>
    </w:p>
    <w:p>
      <w:pPr>
        <w:pBdr>
          <w:top w:val="single" w:color="F3F4F6" w:sz="2" w:space="4"/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@workflow.defn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LabResultWorkflow: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@workflow.run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async def run(self, event: LabEvent) -&gt; CaseOutcome: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case = await activity(create_case, event)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Слой 1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dq = await activity(agent_data_quality, case)          # A2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if dq.status == "insufficient_data" and dq.blocking: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return await escalate_missing_data(case, dq)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Слой 2 — параллельно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risk, trend, kg, diet = await gather(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activity(agent_risk, case),                         # A3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activity(agent_trends, case),                       # A4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activity(agent_kg_check, case),                     # A5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activity(agent_diet_fluid, case),                   # A6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Слой 3 — детерминированно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resolution = resolve_conflicts([dq, risk, trend, kg, diet])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severity   = triage_rules(resolution)                   # A7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# Слой 4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explanation = await activity(agent_explain, case, resolution)  # A8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await activity(push_to_worklist, case, severity, explanation)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if severity == "L3":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await activity(page_on_call, case)</w:t>
      </w:r>
    </w:p>
    <w:p>
      <w:pPr>
        <w:pBdr>
          <w:left w:val="single" w:color="A78BFA" w:sz="12" w:space="6"/>
          <w:bottom w:val="single" w:color="F3F4F6" w:sz="2" w:space="4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return CaseOutcome(case.id, severity)</w:t>
      </w:r>
    </w:p>
    <w:p>
      <w:pPr>
        <w:spacing w:after="80"/>
      </w:pPr>
    </w:p>
    <w:p>
      <w:pPr>
        <w:pStyle w:val="Heading2"/>
      </w:pPr>
      <w:r>
        <w:t xml:space="preserve">6.4.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32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Агенты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Особенности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lab_result_workflow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Новый анализ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A2 → A3, A4, A5, A6 → A7 → A8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Основной аналитический сценарий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dialysis_session_workflow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Завершён сеанс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A2 → A3, A4, A6 → A7 → A8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Акцент на IDWG, АД, осложнения на сеансе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patient_report_workflow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Данные из приложения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A1 (если есть текст) → A2 → A4, A6 → A7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Часто L0; агрегируется в сводку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patient_dialogue_workflow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Сообщение пациента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A9 ↔ A1 → red-flag-правила → при необходимости полный анализ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Немедленная эскалация L3 вне общего потока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note_extraction_workflow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Новая заметка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A1 → запись структуры в FHIR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Обогащает данные для других сценариев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periodic_review_workflow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Таймер (например, еженедельно)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Полный набор A2–A8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Плановый пересмотр каждого пациента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engagement_workflow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Молчание пациента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A9 (напоминание) → таймер → эскалация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Поддержка вовлечённости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6.5. Конкурентность и согласованность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одного пациента одновременно выполняется не более одного аналитического сценария; новые события ставятся в очередь или объединяются (debounce, например 10 минут), чтобы серия анализов из одного забора не создавала десяток случаев.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Сценарии для разных пациентов выполняются параллельно.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Срочные события (red flags из A9, критические значения анализов) обрабатываются вне очереди.</w:t>
      </w:r>
    </w:p>
    <w:p>
      <w:pPr>
        <w:pStyle w:val="Heading1"/>
        <w:spacing w:after="200" w:before="360"/>
      </w:pPr>
      <w:r>
        <w:t xml:space="preserve">7. Единый контракт агента</w:t>
      </w:r>
    </w:p>
    <w:p>
      <w:pPr>
        <w:spacing w:after="120" w:line="276"/>
      </w:pPr>
      <w:r>
        <w:t xml:space="preserve">Все агенты, независимо от типа, реализуют один интерфейс и возвращают объект AgentResult. Это делает координатор независимым от внутреннего устройства агентов и позволяет подключать новых агентов без изменения ядра.</w:t>
      </w:r>
    </w:p>
    <w:p>
      <w:pPr>
        <w:pStyle w:val="Heading2"/>
      </w:pPr>
      <w:r>
        <w:t xml:space="preserve">7.1. Схема результата</w:t>
      </w:r>
    </w:p>
    <w:p>
      <w:pPr>
        <w:pBdr>
          <w:top w:val="single" w:color="F3F4F6" w:sz="2" w:space="4"/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EvidenceRef(BaseModel):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kind: Literal["fhir", "text_span", "timeseries", "kg_node", "guideline"]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ref: str                    # "Observation/123", "DocumentReference/9#120-164"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note: str | None = None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Finding(BaseModel):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code: str                   # "hyperkalemia_risk", "kdigo_k_03_violation"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system: str | None          # SNOMED / LOINC / internal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value: float | str | bool | None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unit: str | None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severity_hint: Literal["L0", "L1", "L2", "L3"] | None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evidence: list[EvidenceRef]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AgentResult(BaseModel):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agent: str                  # "risk_predictor"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agent_version: str          # "a3@1.4.0+model:lgbm-k-2026-09+features:v7"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case_id: str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status: Literal["ok", "insufficient_data", "error"]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findings: list[Finding]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confidence: float | None    # калиброванная, 0..1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suggested_severity: Literal["L0", "L1", "L2", "L3"] | None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missing: list[str] = []     # каких данных не хватило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rationale: str              # кратко, для аудита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input_hash: str             # хеш снимка входных данных</w:t>
      </w:r>
    </w:p>
    <w:p>
      <w:pPr>
        <w:pBdr>
          <w:left w:val="single" w:color="A78BFA" w:sz="12" w:space="6"/>
          <w:bottom w:val="single" w:color="F3F4F6" w:sz="2" w:space="4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duration_ms: int</w:t>
      </w:r>
    </w:p>
    <w:p>
      <w:pPr>
        <w:spacing w:after="80"/>
      </w:pPr>
    </w:p>
    <w:p>
      <w:pPr>
        <w:pStyle w:val="Heading2"/>
      </w:pPr>
      <w:r>
        <w:t xml:space="preserve">7.2. Правила для всех агентов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Агент не имеет побочных эффектов, кроме записи своего результата; он не меняет клинические данные и не уведомляет людей напрямую.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Агент не обращается во внешнюю сеть; доступ только к внутренним хранилищам и LLM-шлюзу.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Каждый Finding обязан иметь хотя бы одну ссылку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При невозможности выполнить задачу агент возвращает status = insufficient_data или error с заполненным полем missing, а не «пустой нормальный» результат.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Версия агента включает версии всех зависимостей: кода, модели, промпта, набора признаков, правил.</w:t>
      </w:r>
    </w:p>
    <w:p>
      <w:pPr>
        <w:pStyle w:val="Heading2"/>
      </w:pPr>
      <w:r>
        <w:t xml:space="preserve">7.3. Особые требования к LLM-агентам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Генерация ограничивается JSON-схемой (guided decoding в vLLM).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Невалидный ответ повторяется не более N раз, после чего возвращается status =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Temperature = 0; фиксируются модель, промпт и параметры генерации.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Все извлечённые значения сопоставляются с фрагментом исходного текста (text_span); значение без фрагмента отбрасывается.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Числа в итоговых текстах проверяются автоматически по первичным данным (см. A8).</w:t>
      </w:r>
    </w:p>
    <w:p>
      <w:pPr>
        <w:pStyle w:val="Heading1"/>
        <w:pageBreakBefore/>
        <w:spacing w:after="200" w:before="360"/>
      </w:pPr>
      <w:r>
        <w:t xml:space="preserve">8. Агенты: детальное описание</w:t>
      </w:r>
    </w:p>
    <w:p>
      <w:pPr>
        <w:spacing w:after="120" w:line="276"/>
      </w:pPr>
      <w:r>
        <w:t xml:space="preserve">Ниже для каждого агента приведены назначение, входы, выходы, реализация, контроль качества и основные риски. Пороговые значения указаны как примеры.</w:t>
      </w:r>
    </w:p>
    <w:p>
      <w:pPr>
        <w:pStyle w:val="Heading2"/>
      </w:pPr>
      <w:r>
        <w:t xml:space="preserve">8.1. A1 — NLP-экстрактор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Извлечение клинически значимой информации из неструктурированных текстов: заметок врачей и сестёр, выписок, сообщений пациентов.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+ классические NLP-инструменты (CAMeL Tools для арабского).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FHIR DocumentReference или текст сообщения; язык (en, ar, смешанный, диалект — определяется автоматически).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Список сущностей: симптомы, диагнозы, препараты с дозировками, значения показателей, отрицания («нет одышки»), временные указания («со вчерашнего дня»). Каждая сущность нормализована к SNOMED CT / RxNorm / LOINC и имеет text_span и уверенность.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1) Определение языка и диалекта. 2) Предобработка арабского текста (нормализация орфографии, сегментация, CAMeL Tools). 3) Извлечение сущностей локальной LLM с ограничением по JSON-схеме. 4) Нормализация терминов через словари и поиск в графе знаний. 5) Проверка: каждая сущность должна иметь подтверждённый фрагмент текста.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Размеченный тестовый набор (EN, AR, смешанные тексты); метрики precision/recall/F1 по типам сущностей; отдельная метрика по отрицаниям; доля галлюцинаций (сущность без опоры в тексте).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Мало размеченных арабских медицинских данных; диалектные описания симптомов; смешение языков в одной фразе. Снижение: активное обучение с разметкой врачами Низвы, многоуровневая архитектура промптов (опыт проекта Medotor).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8.2. A2 — Качество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Проверка полноты, свежести и правдоподобия данных пациента перед анализом. Защищает от ситуации «данных нет — значит норма».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Детерминированный код.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Набор данных случая: последние значения и ряды показателей, метаданные источников.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Список проблем: отсутствует обязательный показатель; значение устарело (например, K⁺ старше 30 дней); неправдоподобное значение (K⁺ = 15 ммоль/л); противоречие единиц; дубликаты. Флаг blocking, если анализ невозможен.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 полноты и свежести задаются в пакете направления (для каждого показателя — максимальный возраст и допустимый диапазон). Проверка единиц по UCUM.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Модульные тесты на каждое правило; синтетические случаи с заведомыми дефектами.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Слишком строгие правила создают шум. Снижение: калибровка порогов на исторических данных и с врачами.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8.3. A3 — Прогноз рисков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Количественная оценка риска клинически значимых исходов на основе лонгитюдных данных.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Статистические и ML-модели.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Целевые исходы (примеры)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Прогрессия до терминальной стадии (KFRE, 2 и 5 лет); гиперкалиемия в ближайшие N дней; перегрузка жидкостью; госпитализация в течение 30/90 дней; осложнения на сеансе диализа.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Временные ряды показателей (TimescaleDB), демография, диагнозы, назначения, история диализа.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Для каждого исхода: вероятность, доверительный интервал, вклад признаков (SHAP), версия модели, флаг выхода за область применимости модели (out-of-distribution).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Базовая линия — KFRE (библиотека kfre). Собственные модели — градиентный бустинг (LightGBM), модели выживаемости (scikit-survival), при достаточных данных — модели временных рядов. Калибровка вероятностей (isotonic / Platt). Реестр моделей — MLflow.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ROC-AUC, PR-AUC, Brier score, калибровочные кривые; оценка по подгруппам (пол, возраст, стадия ХБП) для выявления смещений; временная валидация (обучение на прошлом, проверка на будущем).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Перенос моделей с MIMIC на оманскую популяцию; смещения. Снижение: дообучение на данных Низвы, мониторинг дрейфа, флаг области применимости.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8.4. A4 — Тренды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Выявление клинически значимых изменений во времени, которые не видны по одному значению.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Статистические методы, детерминированные правила.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Временные ряды: eGFR, K⁺, фосфор, Hb, альбумин, IDWG, АД, вес.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Обнаруженные тренды: направление, скорость (например, падение eGFR &gt; X мл/мин/1,73 м² в год), точки перелома, выход из персонального коридора нормы пациента.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Скользящие регрессии, обнаружение точек перелома (например, библиотека ruptures), персональные базовые линии (медиана и разброс за период стабильности), правила «N значений подряд выше порога».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Ретроспективная проверка на исторических случаях с известными ухудшениями; доля ложных срабатываний на стабильных пациентах.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Нерегулярные интервалы измерений. Снижение: методы, устойчивые к неравномерной сетке, явный учёт пропусков.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8.5. A5 — Проверка по графу знаний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Проверка состояния пациента и назначений на соответствие формализованным клиническим ограничениям.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Детерминированные правила поверх графа знаний.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Текущие показатели, диагнозы, назначения пациента.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Нарушения с указанием источника: значение вне целевого диапазона по рекомендации; препарат требует коррекции дозы при текущем eGFR; противопоказание; комбинация препаратов, повышающая риск (например, гиперкалиемии). Каждое нарушение ссылается на узел графа и первоисточник рекомендации.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Запросы к графу (Cypher / SPARQL) генерируются из шаблонов правил; правила версионируются. Опционально — формализация части правил на CQL для переносимости.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Набор тестовых пациентов, проверенных нефрологами; покрытие правилами ключевых разделов рекомендаций.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Неполнота графа; расхождение международных рекомендаций и локальной практики. Снижение: процесс утверждения правил, локальные переопределения в пакете направления.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8.6. A6 — Питание и водный режим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Оценка соблюдения диетических ограничений и водного режима по данным, поступающим от пациента вне клиники.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Код + LLM для разбора свободного описания еды.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Записи из приложения: потребление жидкости, приёмы пищи (выбор из каталога или свободный текст, в том числе на арабском), вес.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Оценка потребления калия, фосфора, натрия и жидкости относительно индивидуальных ограничений; доля дней с нарушениями; связь с IDWG и лабораторными показателями.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Каталог продуктов с составом, включая региональные блюда Омана (финики, рис, бобовые и т. д.); LLM сопоставляет свободное описание с каталогом (с ограничением по схеме); расчёт нутриентов — детерминированный.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Сравнение с оценкой диетолога на выборке записей; точность сопоставления блюд.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Неточность самоотчётов; культурная специфика питания. Снижение: каталог, составленный с местными диетологами; акцент на трендах, а не на абсолютных значениях.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8.7. A7 — Оценка срочности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Итоговая классификация случая по уровню срочности L0–L3.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Только детерминированные правила. LLM не участвует.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Результат разрешения противоречий (агрегированные выводы A2–A6).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Уровень срочности, список сработавших правил с их версиями, обоснование.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Таблица правил в пакете направления (условие → минимальный уровень). Итоговый уровень — максимум по всем сработавшим правилам. Правила хранятся как данные (YAML / CQL), а не как код, и проходят процесс утверждения. Подробнее — раздел 9.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Каждое правило покрыто тестами; ретроспективная проверка на исторических случаях; согласие с оценкой срочности врачами (каппа Коэна); особое внимание — пропущенным опасным случаям (чувствительность для L2–L3).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Перегрузка врачей ложными тревогами. Снижение: калибровка порогов, мониторинг доли L2–L3 и частоты отклонений врачами.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8.8. A8 — Объяснение для врача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Формирование краткого понятного резюме случая для врача: что произошло, почему такой уровень срочности, на каких данных это основано, что рекомендуют руководства.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с автоматической проверкой.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Итог разрешения противоречий, уровень срочности, evidence, релевантные фрагменты рекомендаций (RAG по pgvector).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Структурированное резюме: ключевые находки, тренды, нарушения, обоснование срочности, ссылки на первичные данные и рекомендации. Язык — по настройке врача (английский; арабский/русский при необходимости).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получает только структурированные выводы (не сырые данные) и обязана ссылаться на evidence_id. Постпроверка: (1) каждое утверждение содержит ссылку; (2) все числа сверяются с первичными данными; (3) запрещённые формулировки (назначение лечения) отсекаются. При провале проверки показывается шаблонное резюме без LLM.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Оценка врачами по шкалам точности, полноты, полезности; доля провалов автоматической проверки; таксономия галлюцинаций (опыт Medotor).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Галлюцинации, искажение чисел. Снижение: многоуровневая проверка, резервный шаблон, LLM не влияет на уровень срочности.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8.9. A9 — Диалог с пациентом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Многоязычное взаимодействие с пациентом: структурированный сбор симптомов, напоминания, ответы на вопросы в рамках утверждённых материалов.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Тип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(MSA, оманский диалект, английский) + детерминированные правила red flags.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Сообщения пациента (текст; в перспективе — голос через локальный Whisper), контекст пациента (ограниченный), опросники из пакета направления.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Выход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Ответ пациенту; структурированные данные (QuestionnaireResponse, Observation) в FHIR; при обнаружении red flags — немедленное событие эскалации.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Диалог ведётся по сценарию опросника; LLM отвечает за естественность формулировок и понимание диалекта. Извлечённые симптомы проверяются правилами red flags (например, боль в груди, выраженная одышка, отсутствие мочи у пациента на консервативном лечении, спутанность сознания). Советы пациенту — только из библиотеки утверждённых шаблонов на MSA. Агент не ставит диагнозы и не меняет лечение.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Тестирование на сценариях с симулированными пациентами; полнота обнаружения red flags (цель — максимальная чувствительность); оценка понятности ответов носителями языка; проверка на prompt injection.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Пропуск опасного симптома; неверное понимание диалекта; попытки манипуляции. Снижение: консервативные правила (в сомнительных случаях — эскалация), изоляция A9 от инструментов с побочными эффектами, ограниченный контекст пациента.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8.10. Сводная таблица агентов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300"/>
        <w:gridCol w:w="2400"/>
        <w:gridCol w:w="1638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LLM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Влияет на срочность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Год появления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A1 NLP-экстрактор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+ NLP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Косвенно (через данные)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A2 Качество данных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Код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A3 Прогноз рисков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A4 Тренды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Статистика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A5 Проверка по графу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A6 Питание и вода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Код + LLM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A7 Оценка срочности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Определяет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A8 Объяснение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+ проверка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A9 Диалог с пациентом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+ правила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Только red flags (правилами)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9. Разрешение противоречий и оценка срочности</w:t>
      </w:r>
    </w:p>
    <w:p>
      <w:pPr>
        <w:pStyle w:val="Heading2"/>
      </w:pPr>
      <w:r>
        <w:t xml:space="preserve">9.1. Правила разрешения противоречий</w:t>
      </w:r>
    </w:p>
    <w:p>
      <w:pPr>
        <w:spacing w:after="120" w:line="276"/>
      </w:pPr>
      <w:r>
        <w:t xml:space="preserve">Применяются строго по порядку; каждое срабатывание записывается в аудит.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42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R0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Приоритет безопасности.</w:t>
            </w:r>
            <w:r>
              <w:rPr>
                <w:sz w:val="19"/>
                <w:szCs w:val="19"/>
              </w:rPr>
              <w:t xml:space="preserve"> Сработавшее утверждённое правило безопасности задаёт нижнюю границу срочности, которую не могут понизить другие агенты.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A5 обнаружил противопоказанный препарат → не ниже L2, даже если A3 даёт низкий риск.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Структурированные данные важнее текста.</w:t>
            </w:r>
            <w:r>
              <w:rPr>
                <w:sz w:val="19"/>
                <w:szCs w:val="19"/>
              </w:rPr>
              <w:t xml:space="preserve"> При расхождении значения, извлечённого A1 из текста, и значения из ЛИС приоритет у ЛИС; случай помечается как противоречивый.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 заметке «K 4.5», в ЛИС 6.8 → используется 6.8, флаг conflict.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Свежие данные важнее старых</w:t>
            </w:r>
            <w:r>
              <w:rPr>
                <w:sz w:val="19"/>
                <w:szCs w:val="19"/>
              </w:rPr>
              <w:t xml:space="preserve"> при прочих равных.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Два значения веса за день → берётся последнее подтверждённое.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Расхождение модели и правил.</w:t>
            </w:r>
            <w:r>
              <w:rPr>
                <w:sz w:val="19"/>
                <w:szCs w:val="19"/>
              </w:rPr>
              <w:t xml:space="preserve"> Высокий риск по A3 без нарушений правил (или наоборот) → флаг discordant, уровень не ниже L1.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A3: риск госпитализации 0,7; A5, A4 — без находок → L1 на проверку.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Неопределённость.</w:t>
            </w:r>
            <w:r>
              <w:rPr>
                <w:sz w:val="19"/>
                <w:szCs w:val="19"/>
              </w:rPr>
              <w:t xml:space="preserve"> Уверенность ключевого агента ниже порога или insufficient_data → статус «требуется уточнение» и задача на сбор данных.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Нет K⁺ за 45 дней у пациента на ИАПФ → задача «назначить анализ», L1.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Выход за область применимости модели.</w:t>
            </w:r>
            <w:r>
              <w:rPr>
                <w:sz w:val="19"/>
                <w:szCs w:val="19"/>
              </w:rPr>
              <w:t xml:space="preserve"> Флаг OOD у A3 → вывод модели показывается врачу как справочный и не повышает уровень.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Пациент младше возрастного диапазона обучающих данных.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9.2. Уровни срочности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700"/>
        <w:gridCol w:w="2138"/>
      </w:tblGrid>
      <w:tr>
        <w:trPr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Реакция системы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Срок пересмотра врачом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Возможная угроза жизни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Немедленное уведомление дежурного врача (телефон/пейджер); пациенту — инструкция обратиться за неотложной помощью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Минуты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Требуется осмотр или решение сегодня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 начало рабочего списка; уведомление лечащему врачу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 течение дня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Плановый пересмотр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Рабочий список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Несколько дней</w:t>
            </w:r>
          </w:p>
        </w:tc>
      </w:tr>
      <w:t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Существенных изменений нет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Еженедельная сводка по пациенту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 плановом визите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9.3. Пример правил срочности (иллюстрация)</w:t>
      </w:r>
    </w:p>
    <w:p>
      <w:pPr>
        <w:pBdr>
          <w:left w:val="single" w:color="D97706" w:sz="18" w:space="8"/>
        </w:pBdr>
        <w:shd w:fill="FEF3C7" w:color="auto" w:val="clear"/>
        <w:spacing w:after="160" w:before="80" w:line="264"/>
        <w:ind w:left="170" w:right="170"/>
      </w:pPr>
      <w:r>
        <w:t xml:space="preserve">Значения приведены только для иллюстрации формата. Реальные пороги утверждаются нефрологами.</w:t>
      </w:r>
    </w:p>
    <w:p>
      <w:pPr>
        <w:pBdr>
          <w:top w:val="single" w:color="F3F4F6" w:sz="2" w:space="4"/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domains/nephrology/rules/triage.yaml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version: 0.1.0-draft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rules: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R-K-CRIT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lab.potassium.latest &gt;= 6.5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L3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source: "KDIGO / локальный протокол (утвердить)"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R-K-HIGH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lab.potassium.latest &gt;= 6.0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L2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R-K-TREND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trend.potassium.rising_consecutive &gt;= 3 and lab.potassium.latest &gt;= 5.5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L2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R-IDWG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dialysis.idwg_kg.latest &gt;= 3.5 and symptom.dyspnea == true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L3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R-DRUG-EGFR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kg.violation.dose_adjustment_required == true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L2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id: R-NO-DATA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when: dq.missing contains "potassium" and med.raas_inhibitor == true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severity: L1</w:t>
      </w:r>
    </w:p>
    <w:p>
      <w:pPr>
        <w:pBdr>
          <w:left w:val="single" w:color="A78BFA" w:sz="12" w:space="6"/>
          <w:bottom w:val="single" w:color="F3F4F6" w:sz="2" w:space="4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action: request_lab("potassium")</w:t>
      </w:r>
    </w:p>
    <w:p>
      <w:pPr>
        <w:spacing w:after="80"/>
      </w:pPr>
    </w:p>
    <w:p>
      <w:pPr>
        <w:pStyle w:val="Heading2"/>
      </w:pPr>
      <w:r>
        <w:t xml:space="preserve">9.4. Процесс утверждения правил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Предложение правила (врач или исследователь) оформляется в репозитории правил с обоснованием и источником.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Ретроспективная проверка: сколько случаев правило затронуло бы на исторических данных, сколько из них клинически значимы.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Утверждение ответственным нефрологом (электронная подпись в системе).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Выпуск новой версии пакета правил; все последующие случаи ссылаются на эту версию.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Мониторинг после внедрения: доля срабатываний, доля отклонений врачами.</w:t>
      </w:r>
    </w:p>
    <w:p>
      <w:pPr>
        <w:pStyle w:val="Heading1"/>
        <w:spacing w:after="200" w:before="360"/>
      </w:pPr>
      <w:r>
        <w:t xml:space="preserve">10. Клинический граф знаний</w:t>
      </w:r>
    </w:p>
    <w:p>
      <w:pPr>
        <w:pStyle w:val="Heading2"/>
      </w:pPr>
      <w:r>
        <w:t xml:space="preserve">10.1. Назначение</w:t>
      </w:r>
    </w:p>
    <w:p>
      <w:pPr>
        <w:spacing w:after="120" w:line="276"/>
      </w:pPr>
      <w:r>
        <w:t xml:space="preserve">Граф знаний — центральный уровень формализованного представления клинических знаний. Он обеспечивает агента A5 ограничениями, агента A1 — нормализацией терминов, агента A8 — ссылками на рекомендации и поддерживает интерпретируемость решений.</w:t>
      </w:r>
    </w:p>
    <w:p>
      <w:pPr>
        <w:pStyle w:val="Heading2"/>
      </w:pPr>
      <w:r>
        <w:t xml:space="preserve">10.2. Модель графа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1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Тип узла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ХБП стадии 1–5, гиперкалиемия, анемия при ХБП, вторичный гиперпаратиреоз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SNOMED CT, ICD-11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LabTest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eGFR, K⁺, фосфор, ПТГ, Hb, uACR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LOINC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Drug / DrugClass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ИАПФ, БРА, антагонисты минералокортикоидных рецепторов, iSGLT2, фосфат-биндеры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RxNorm / ATC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Threshold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Целевые диапазоны и критические значения показателей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KDIGO, локальные протоколы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Утверждение рекомендации с уровнем доказательности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KDIGO, ВОЗ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Rule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Формализованное правило для A5/A7 со ссылкой на Recommendation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Команда проекта + нефрологи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Food / Nutrient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Продукты и их содержание K, P, Na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Национальные таблицы состава, диетологи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Основные связи: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Drug -[REQUIRES_DOSE_ADJUSTMENT {egfr_below}]-&gt; Condition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Drug -[INCREASES_RISK_OF]-&gt; Condition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LabTest -[HAS_TARGET]-&gt; Threshold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Rule -[DERIVED_FROM]-&gt; Recommendation</w:t>
      </w:r>
      <w:r>
        <w:t xml:space="preserve">, </w:t>
      </w:r>
      <w:r>
        <w:rPr>
          <w:rFonts w:ascii="Consolas" w:cs="Consolas" w:eastAsia="Consolas" w:hAnsi="Consolas"/>
          <w:color w:val="4C1D95"/>
          <w:sz w:val="19"/>
          <w:szCs w:val="19"/>
        </w:rPr>
        <w:t xml:space="preserve">Food -[CONTAINS {mg_per_100g}]-&gt; Nutrient</w:t>
      </w:r>
      <w:r>
        <w:t xml:space="preserve">.</w:t>
      </w:r>
    </w:p>
    <w:p>
      <w:pPr>
        <w:pStyle w:val="Heading2"/>
      </w:pPr>
      <w:r>
        <w:t xml:space="preserve">10.3. Построение и сопровождение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Первичное наполнение — полуавтоматически: извлечение из рекомендаций KDIGO с помощью LLM (подход BaseAgent / MedKGent) с обязательной проверкой экспертами.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Терминология — загрузка подмножеств SNOMED CT, ICD-11 (локальный сервис ВОЗ), LOINC.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Каждое ребро и узел имеет источник, версию и статус проверки (draft / reviewed / approved).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Оценка качества графа — методы иерархической оценки многодоменных онтологий (наработки А. Аль-Субхи).</w:t>
      </w:r>
    </w:p>
    <w:p>
      <w:pPr>
        <w:pBdr>
          <w:left w:val="single" w:color="D97706" w:sz="18" w:space="8"/>
        </w:pBdr>
        <w:shd w:fill="FEF3C7" w:color="auto" w:val="clear"/>
        <w:spacing w:after="160" w:before="80" w:line="264"/>
        <w:ind w:left="170" w:right="170"/>
      </w:pPr>
      <w:r>
        <w:t xml:space="preserve">Лицензирование SNOMED CT определяется по странам-членам SNOMED International. Необходимо проверить статус Омана и России и условия использования в исследовательском проекте.</w:t>
      </w:r>
    </w:p>
    <w:p>
      <w:pPr>
        <w:pStyle w:val="Heading1"/>
        <w:spacing w:after="200" w:before="360"/>
      </w:pPr>
      <w:r>
        <w:t xml:space="preserve">11. Локальные LLM и многоязычность</w:t>
      </w:r>
    </w:p>
    <w:p>
      <w:pPr>
        <w:pStyle w:val="Heading2"/>
      </w:pPr>
      <w:r>
        <w:t xml:space="preserve">11.1. Инфраструктура LLM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vLLM</w:t>
      </w:r>
      <w:r>
        <w:t xml:space="preserve"> — сервер инференса с поддержкой генерации, ограниченной JSON-схемой, и высокой пропускной способностью.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LiteLLM</w:t>
      </w:r>
      <w:r>
        <w:t xml:space="preserve"> (self-hosted) — единый шлюз: маршрутизация между моделями, квоты, логирование, единый OpenAI-совместимый API для всех агентов.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Langfuse</w:t>
      </w:r>
      <w:r>
        <w:t xml:space="preserve"> (self-hosted) — трассировка каждого вызова: промпт, ответ, модель, время, стоимость в токенах; связывается с case_id.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Внешние API (OpenAI, Anthropic, Google и т. д.) для данных пациентов не используются.</w:t>
      </w:r>
    </w:p>
    <w:p>
      <w:pPr>
        <w:pStyle w:val="Heading2"/>
      </w:pPr>
      <w:r>
        <w:t xml:space="preserve">11.2. Выбор моделей</w:t>
      </w:r>
    </w:p>
    <w:p>
      <w:pPr>
        <w:spacing w:after="120" w:line="276"/>
      </w:pPr>
      <w:r>
        <w:t xml:space="preserve">Окончательный выбор делается по результатам сравнения на задачах проекта. Кандидаты: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Кандидаты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Критерии выбора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Извлечение (A1), объяснение (A8)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Qwen (средние размеры), Llama, Gemma / MedGemma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Качество извлечения, следование схеме, медицинские знания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Арабский язык и диалект (A1, A9)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Jais, ALLaM, Fanar, многоязычные Qwen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Понимание MSA и оманского диалекта, качество генерации на MSA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Эмбеддинги (RAG)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BGE-M3, multilingual-e5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Поддержка арабского, качество поиска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Распознавание речи (A9, перспектива)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Whisper (дообученный)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Качество на оманском диалекте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11.3. Многоязычный конвейер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Определение языка и диалекта на уровне фразы (код-свитчинг арабский/английский).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Внутреннее представление — нормализованные коды (SNOMED, LOINC), не зависящие от языка; это позволяет агентам A2–A7 работать без учёта языка.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Тексты для пациентов — на MSA из утверждённых шаблонов; врачам — на английском (по умолчанию).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Русский язык подключается на этапе адаптации к российским учреждениям тем же механизмом.</w:t>
      </w:r>
    </w:p>
    <w:p>
      <w:pPr>
        <w:pStyle w:val="Heading1"/>
        <w:spacing w:after="200" w:before="360"/>
      </w:pPr>
      <w:r>
        <w:t xml:space="preserve">12. Интерфейсы</w:t>
      </w:r>
    </w:p>
    <w:p>
      <w:pPr>
        <w:pStyle w:val="Heading2"/>
      </w:pPr>
      <w:r>
        <w:t xml:space="preserve">12.1. Рабочий список врача (веб)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Список случаев, отсортированный по срочности и времени; фильтры по отделению и врачу.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Карточка случая: резюме A8, ключевые показатели и графики трендов, сработавшие правила, вероятности рисков с вкладом признаков, ссылки на первичные данные.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Действия: </w:t>
      </w:r>
      <w:r>
        <w:rPr>
          <w:b/>
          <w:bCs/>
        </w:rPr>
        <w:t xml:space="preserve">принять</w:t>
      </w:r>
      <w:r>
        <w:t xml:space="preserve">, </w:t>
      </w:r>
      <w:r>
        <w:rPr>
          <w:b/>
          <w:bCs/>
        </w:rPr>
        <w:t xml:space="preserve">изменить</w:t>
      </w:r>
      <w:r>
        <w:t xml:space="preserve"> (скорректировать уровень или выводы), </w:t>
      </w:r>
      <w:r>
        <w:rPr>
          <w:b/>
          <w:bCs/>
        </w:rPr>
        <w:t xml:space="preserve">отклонить</w:t>
      </w:r>
      <w:r>
        <w:t xml:space="preserve"> — с обязательным указанием причины для изменения и отклонения.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Обратная связь сохраняется как размеченные данные для оценки и дообучения.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Поддержка письма справа налево для арабских фрагментов.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Реализация: React; при выборе Medplum — его компоненты для отображения FHIR-данных.</w:t>
      </w:r>
    </w:p>
    <w:p>
      <w:pPr>
        <w:pStyle w:val="Heading2"/>
      </w:pPr>
      <w:r>
        <w:t xml:space="preserve">12.2. Приложение пациента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Ввод веса, АД, потребления жидкости, питания (каталог региональных блюд + свободный текст), симптомов, приёма препаратов.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Чат с агентом A9 на MSA или диалекте; в перспективе — голосовой ввод.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Напоминания о взвешивании, приёме препаратов, анализах.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Опросники качества жизни (например, KDQOL) по расписанию.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Полностью арабский интерфейс (RTL), английский как вариант.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Реализация: Flutter или React Native; работа через защищённый API платформы; минимум данных хранится на устройстве.</w:t>
      </w:r>
    </w:p>
    <w:p>
      <w:pPr>
        <w:pStyle w:val="Heading2"/>
      </w:pPr>
      <w:r>
        <w:t xml:space="preserve">12.3. Интеграция с ЭМК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CDS Hooks</w:t>
      </w:r>
      <w:r>
        <w:t xml:space="preserve">: рекомендации и уровень срочности показываются прямо в ЭМК врача при открытии карты пациента (хук patient-view) или при назначении препарата (хук order-select).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FHIR API</w:t>
      </w:r>
      <w:r>
        <w:t xml:space="preserve">: чтение данных и запись результатов (например, Flag, RiskAssessment, DetectedIssue).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Реализуется на 3-м году проекта по мере готовности HIS партнёра.</w:t>
      </w:r>
    </w:p>
    <w:p>
      <w:pPr>
        <w:pStyle w:val="Heading1"/>
        <w:spacing w:after="200" w:before="360"/>
      </w:pPr>
      <w:r>
        <w:t xml:space="preserve">13. Аудит, воспроизводимость и наблюдаемость</w:t>
      </w:r>
    </w:p>
    <w:p>
      <w:pPr>
        <w:pStyle w:val="Heading2"/>
      </w:pPr>
      <w:r>
        <w:t xml:space="preserve">13.1. Журнал аудита</w:t>
      </w:r>
    </w:p>
    <w:p>
      <w:pPr>
        <w:spacing w:after="120" w:line="276"/>
      </w:pPr>
      <w:r>
        <w:t xml:space="preserve">Журнал допускает только добавление записей (append-only; права на изменение и удаление отсутствуют у всех ролей, включая администраторов приложения). Записи связываются в цепочку хешей для обнаружения подмены.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Событие аудита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case.created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Исходное событие, сценарий и его версия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agent.result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Полный AgentResult, включая версии и input_hash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resolution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Сработавшие правила разрешения противоречий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triage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Уровень срочности и сработавшие правила A7 с версиями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explanation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Текст A8, результаты автоматической проверки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clinician.action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Действие врача, причина, идентификатор врача, время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escalation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Отправленные уведомления и подтверждение получения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access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Кто и когда просматривал данные пациента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config.change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Изменения правил, моделей, промптов, пакетов направлений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13.2. Воспроизводимость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Снимок входных данных каждого случая сохраняется в объектном хранилище; в аудите — его хеш.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Повторный прогон</w:t>
      </w:r>
      <w:r>
        <w:t xml:space="preserve">: любой исторический случай можно обработать заново на новых версиях агентов и сравнить результаты. Используется для регрессионного тестирования перед выпуском новых версий и для исследований согласованности агентов.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Версии всех артефактов (код, модели, промпты, правила, граф) фиксируются и связываются с каждым результатом.</w:t>
      </w:r>
    </w:p>
    <w:p>
      <w:pPr>
        <w:pStyle w:val="Heading2"/>
      </w:pPr>
      <w:r>
        <w:t xml:space="preserve">13.3. Наблюдаемость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OpenTelemetry для трассировки запросов через все сервисы; Prometheus + Grafana для метрик.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Langfuse для LLM-вызовов.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Клинические метрики работы системы на дашборде: распределение уровней срочности, доля отклонений врачами по агентам, время реакции на L2/L3, дрейф входных данных и качества моделей.</w:t>
      </w:r>
    </w:p>
    <w:p>
      <w:pPr>
        <w:pStyle w:val="Heading1"/>
        <w:spacing w:after="200" w:before="360"/>
      </w:pPr>
      <w:r>
        <w:t xml:space="preserve">14. Безопасность и конфиденциальность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Меры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Сетевая изоляция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Вся платформа во внутренней сети больницы; агентам и LLM запрещён исходящий доступ в интернет на уровне сетевых политик; приложение пациента подключается через единственный защищённый шлюз.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Аутентификация и роли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Единый вход через систему больницы (OIDC/SAML); роли: врач, медсестра, администратор, исследователь, пациент; доступ к пациенту — только лечащим врачам и по назначению.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Шифрование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TLS для всех соединений; шифрование дисков и резервных копий.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Обезличивание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Исследовательские выгрузки проходят обезличивание (Presidio + арабские распознаватели) и проверку перед выдачей.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Защита LLM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A9 изолирован от инструментов с побочными эффектами; входные тексты пациентов не могут менять инструкции других агентов (структурированная передача); ограничение длины и фильтрация входа.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Секреты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Хранение ключей и паролей в Vault или эквиваленте; ротация.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Резервное копирование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Ежедневные резервные копии с проверкой восстановления; журнал аудита — с отдельной копией.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Этика и регулирование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Одобрение этического комитета на использование данных; соглашение об использовании данных между ВШЭ и Низвой; анализ требований к медицинскому ПО (SaMD) в Омане до клинического использования.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15. Расширяемость: пакет направления</w:t>
      </w:r>
    </w:p>
    <w:p>
      <w:pPr>
        <w:spacing w:after="120" w:line="276"/>
      </w:pPr>
      <w:r>
        <w:t xml:space="preserve">Ключевой проверяемый результат 3-го года — подключение второго медицинского направления без изменения базовых компонентов. Это достигается вынесением всей предметной специфики в пакет направления.</w:t>
      </w:r>
    </w:p>
    <w:p>
      <w:pPr>
        <w:pBdr>
          <w:top w:val="single" w:color="F3F4F6" w:sz="2" w:space="4"/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domains/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nephrology/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domain.yaml          # метаданные, версия, ответственные врачи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agents.yaml          # включённые агенты, их параметры и модели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data_quality.yaml    # обязательные показатели, сроки свежести, диапазоны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rules/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triage.yaml        # правила срочности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conflicts.yaml     # переопределения правил разрешения противоречий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kg/                  # подграф знаний (импорт в Neo4j)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models/              # ссылки на модели в MLflow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questionnaires/      # опросники для A9 (ar, en)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prompts/             # промпты A1, A8, A9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patient_content/     # утверждённые шаблоны сообщений пациентам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tests/               # эталонные случаи для регрессионной проверки</w:t>
      </w:r>
    </w:p>
    <w:p>
      <w:pPr>
        <w:pBdr>
          <w:left w:val="single" w:color="A78BFA" w:sz="12" w:space="6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&lt;второе направление&gt;/</w:t>
      </w:r>
    </w:p>
    <w:p>
      <w:pPr>
        <w:pBdr>
          <w:left w:val="single" w:color="A78BFA" w:sz="12" w:space="6"/>
          <w:bottom w:val="single" w:color="F3F4F6" w:sz="2" w:space="4"/>
        </w:pBdr>
        <w:shd w:fill="F3F4F6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...                  # тот же формат</w:t>
      </w:r>
    </w:p>
    <w:p>
      <w:pPr>
        <w:spacing w:after="80"/>
      </w:pPr>
    </w:p>
    <w:p>
      <w:pPr>
        <w:pStyle w:val="Heading2"/>
      </w:pPr>
      <w:r>
        <w:t xml:space="preserve">15.1. Что остаётся неизменным при добавлении направления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Координатор и сценарии (они параметризуются пакетом).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Контракт агента, механизмы разрешения противоречий, аудит.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Инфраструктура данных, LLM, интерфейсы (интерфейсы отображают данные пакета).</w:t>
      </w:r>
    </w:p>
    <w:p>
      <w:pPr>
        <w:pStyle w:val="Heading2"/>
      </w:pPr>
      <w:r>
        <w:t xml:space="preserve">15.2. Критерии успешной демонстрации расширяемости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Новое направление подключено без изменений в коде ядра (проверяется по истории репозитория).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Регрессионные тесты нефрологии проходят без изменений.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нового направления достигнуты согласованные метрики качества.</w:t>
      </w:r>
    </w:p>
    <w:p>
      <w:pPr>
        <w:spacing w:after="120" w:line="276"/>
      </w:pPr>
      <w:r>
        <w:t xml:space="preserve">Кандидаты для второго направления, близкие по данным: сахарный диабет (общие факторы риска с ХБП) или артериальная гипертензия.</w:t>
      </w:r>
    </w:p>
    <w:p>
      <w:pPr>
        <w:pStyle w:val="Heading1"/>
        <w:spacing w:after="200" w:before="360"/>
      </w:pPr>
      <w:r>
        <w:t xml:space="preserve">16. Оценка качества и валидация</w:t>
      </w:r>
    </w:p>
    <w:p>
      <w:pPr>
        <w:pStyle w:val="Heading2"/>
      </w:pPr>
      <w:r>
        <w:t xml:space="preserve">16.1. Уровни оценки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8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Что оценивается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Метрики</w:t>
            </w:r>
          </w:p>
        </w:tc>
        <w:tc>
          <w:tcPr>
            <w:tcW w:type="dxa" w:w="1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Данные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Агент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Каждый агент отдельно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A1: F1 по сущностям; A3: ROC-AUC, Brier, калибровка; A4: чувствительность / ложные тревоги; A8: доля провалов проверки, оценка врачей; A9: полнота red flags</w:t>
            </w:r>
          </w:p>
        </w:tc>
        <w:tc>
          <w:tcPr>
            <w:tcW w:type="dxa" w:w="1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Размеченные наборы, открытые датасеты, данные Низвы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Координация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Работа системы агентов в целом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Согласованность агентов, доля discordant, корректность разрешения противоречий, устойчивость к пропускам данных</w:t>
            </w:r>
          </w:p>
        </w:tc>
        <w:tc>
          <w:tcPr>
            <w:tcW w:type="dxa" w:w="1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Исторические случаи, синтетические сценарии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Срочность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Соответствие уровня оценке врачей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Каппа Коэна, чувствительность для L2–L3, доля переоценки/недооценки</w:t>
            </w:r>
          </w:p>
        </w:tc>
        <w:tc>
          <w:tcPr>
            <w:tcW w:type="dxa" w:w="1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Ретроспективные случаи, оценённые нефрологами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Клиника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Применимость в реальной работе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Доля принятых рекомендаций, время реакции, удобство (SUS), интерпретируемость, выявленные клинически значимые ошибки</w:t>
            </w:r>
          </w:p>
        </w:tc>
        <w:tc>
          <w:tcPr>
            <w:tcW w:type="dxa" w:w="1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Пилот в Бушарском центре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16.2. Инфраструктура оценки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Набор эталонных случаев в каждом пакете направления; автоматический прогон при каждом изменении (CI).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Симулятор диалогов с пациентом и метрики выбора агентов — адаптация модуля evaluation из проекта Microsoft healthcare-agent-orchestrator (MIT) под локальные модели.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Повторный прогон исторических случаев на новых версиях с отчётом о расхождениях.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Таксономия клинически значимых ошибок и галлюцинаций (развитие подхода проекта Medotor).</w:t>
      </w:r>
    </w:p>
    <w:p>
      <w:pPr>
        <w:pStyle w:val="Heading2"/>
      </w:pPr>
      <w:r>
        <w:t xml:space="preserve">16.3. Этапы валидации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Техническая валидация на открытых датасетах (год 1).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Ретроспективная валидация на обезличенных данных Низвы (год 2).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Проспективный «теневой» режим: система работает параллельно с врачами, рекомендации не показываются пациентам и не влияют на лечение (год 2).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Пилотная клиническая оценка с участием врачей (год 2–3).</w:t>
      </w:r>
    </w:p>
    <w:p>
      <w:pPr>
        <w:pStyle w:val="Heading1"/>
        <w:spacing w:after="200" w:before="360"/>
      </w:pPr>
      <w:r>
        <w:t xml:space="preserve">17. Развёртывание и инфраструктура</w:t>
      </w:r>
    </w:p>
    <w:p>
      <w:pPr>
        <w:pStyle w:val="Heading2"/>
      </w:pPr>
      <w:r>
        <w:t xml:space="preserve">17.1. Конфигурация для пилота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Требования (ориентировочно)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GPU-сервер для LLM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1–2 GPU с 48–80 ГБ памяти (например, класса L40S / A100 / H100) для моделей среднего размера; 128–256 ГБ ОЗУ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Сервер приложений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16–32 ядра, 64–128 ГБ ОЗУ, SSD 2–4 ТБ (FHIR, PostgreSQL, Neo4j, Temporal, MinIO)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Резервное копирование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Отдельное хранилище, объём не менее трёхкратного объёма данных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Сеть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Изолированный сегмент в сети больницы; один защищённый шлюз для приложения пациента</w:t>
            </w:r>
          </w:p>
        </w:tc>
      </w:tr>
    </w:tbl>
    <w:p>
      <w:pPr>
        <w:spacing w:after="120"/>
      </w:pPr>
    </w:p>
    <w:p>
      <w:pPr>
        <w:pBdr>
          <w:left w:val="single" w:color="6366F1" w:sz="18" w:space="8"/>
        </w:pBdr>
        <w:shd w:fill="EEF2FF" w:color="auto" w:val="clear"/>
        <w:spacing w:after="160" w:before="80" w:line="264"/>
        <w:ind w:left="170" w:right="170"/>
      </w:pPr>
      <w:r>
        <w:t xml:space="preserve">Объём GPU зависит от выбранных моделей и нагрузки; уточняется после сравнения моделей и оценки числа пациентов.</w:t>
      </w:r>
    </w:p>
    <w:p>
      <w:pPr>
        <w:pStyle w:val="Heading2"/>
      </w:pPr>
      <w:r>
        <w:t xml:space="preserve">17.2. Варианты развёртывания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Пилот (годы 1–2)</w:t>
      </w:r>
      <w:r>
        <w:t xml:space="preserve">: Docker Compose на 2 серверах; простое сопровождение силами команды.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Внедрение (год 3)</w:t>
      </w:r>
      <w:r>
        <w:t xml:space="preserve">: Kubernetes (k3s или RKE2) с Helm-чартами; масштабирование, отказоустойчивость.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Разработка</w:t>
      </w:r>
      <w:r>
        <w:t xml:space="preserve">: та же конфигурация Compose на машинах разработчиков с синтетическими данными и небольшими моделями.</w:t>
      </w:r>
    </w:p>
    <w:p>
      <w:pPr>
        <w:pStyle w:val="Heading2"/>
      </w:pPr>
      <w:r>
        <w:t xml:space="preserve">17.3. Жизненный цикл изменений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Все компоненты, правила, промпты и пакеты направлений — в Git; выпуск версий через CI с регрессионными тестами и повторным прогоном эталонных случаев.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Изменение клинических правил и моделей — только через процесс утверждения (раздел 9.4).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Поэтапное включение новых версий: сначала «теневой» режим, затем переключение.</w:t>
      </w:r>
    </w:p>
    <w:p>
      <w:pPr>
        <w:pStyle w:val="Heading1"/>
        <w:spacing w:after="200" w:before="360"/>
      </w:pPr>
      <w:r>
        <w:t xml:space="preserve">18. Технологический стек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400"/>
        <w:gridCol w:w="2438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Выбор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Альтернативы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Лицензия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Координатор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Temporal (Python SDK)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Собственный конвейер; Prefect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Диалог A9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LangGraph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Собственный конечный автомат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Агенты и API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Python, FastAPI, Pydantic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 / BSD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FHIR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Medplum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HAPI FHIR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Реляционные данные и ряды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PostgreSQL / Apache-2.0 (часть функций TimescaleDB — Timescale License)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Граф знаний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Neo4j Community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Memgraph; GraphDB; Apache Jena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GPLv3 (Neo4j CE)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Векторный поиск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pgvector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Qdrant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Объектное хранилище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MinIO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AGPLv3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Шина событий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Kafka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BSD-подобная / 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LLM-инференс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vLLM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Ollama (для разработки)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LLM-шлюз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LiteLLM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Трассировка LLM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Langfuse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 (ядро)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Арабский NLP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CAMeL Tools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SinaTools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Обезличивание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Presidio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scikit-learn, LightGBM, scikit-survival, kfre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BSD / 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Реестр моделей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MLflow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 (опционально)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CQL + AHRQ CQL Services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 в YAML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Интеграция HL7 v2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Open Integration Engine / Mirth Connect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MPL / проверить версию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Наблюдаемость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OpenTelemetry, Prometheus, Grafana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 / AGPLv3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Веб для врачей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React (+ компоненты Medplum)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MIT / Apache-2.0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Приложение пациента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React Native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BSD / MIT</w:t>
            </w:r>
          </w:p>
        </w:tc>
      </w:tr>
      <w:t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Развёртывание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Docker Compose → Kubernetes (k3s)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Apache-2.0</w:t>
            </w:r>
          </w:p>
        </w:tc>
      </w:tr>
    </w:tbl>
    <w:p>
      <w:pPr>
        <w:spacing w:after="120"/>
      </w:pPr>
    </w:p>
    <w:p>
      <w:pPr>
        <w:pBdr>
          <w:left w:val="single" w:color="D97706" w:sz="18" w:space="8"/>
        </w:pBdr>
        <w:shd w:fill="FEF3C7" w:color="auto" w:val="clear"/>
        <w:spacing w:after="160" w:before="80" w:line="264"/>
        <w:ind w:left="170" w:right="170"/>
      </w:pPr>
      <w:r>
        <w:t xml:space="preserve">Лицензии указаны ориентировочно и должны быть проверены перед использованием, особенно для компонентов с copyleft (GPL, AGPL) с учётом планов коммерциализации.</w:t>
      </w:r>
    </w:p>
    <w:p>
      <w:pPr>
        <w:pStyle w:val="Heading1"/>
        <w:spacing w:after="200" w:before="360"/>
      </w:pPr>
      <w:r>
        <w:t xml:space="preserve">19. Дорожная карта по годам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6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Год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Архитектурные результаты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Связь с задачами заявки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Ядро: координатор, контракт агента, разрешение противоречий, аудит. Агенты A1–A5, A7, A8 на открытых данных (MIMIC-IV). Граф знаний v1 для нефрологии. Рабочий список врача. Инфраструктура оценки. Развёртывание на Docker Compose.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Базовая архитектура, граф знаний, предиктивные модели, подсистема оценки срочности, первичная техническая валидация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Адаптация на данных Низвы и регистра. Агенты A6, A9. Приложение пациента. Многоязычный конвейер (AR/EN, диалект). Теневой режим и пилотная клиническая валидация. Датасет обратной связи врачей.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Адаптация на реальных данных, диалоговая система, мобильное приложение, мониторинг вне клиники, клиническая валидация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Второе направление как пакет. Интеграция с HIS/ЭМК (FHIR, CDS Hooks). Kubernetes. Документация, открытые компоненты. Основа для теленефрологии OSNT.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Демонстрация расширяемости, интеграция с медицинскими информационными системами, подготовка к внедрению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20. Риски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1300"/>
        <w:gridCol w:w="398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Меры снижения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Недостаточно размеченных арабских медицинских данных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Активное обучение, разметка с врачами Низвы, привлечение арабиста, синтетические данные для предобучения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Качество локальных LLM ниже облачных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LLM вне критического пути; сравнение моделей; дообучение; строгие схемы и проверки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Недостаточное GPU-обеспечение на месте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Ранняя оценка требований; квантизованные модели; согласование закупки с партнёром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Перенос моделей с открытых данных на оманскую популяцию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Дообучение на данных Низвы; оценка по подгруппам; флаг области применимости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Перегрузка врачей ложными тревогами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Калибровка порогов; мониторинг доли отклонений; теневой режим перед включением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Задержки с доступом к данным и этическим одобрением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Ранний старт процедур; работа на открытых данных в год 1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Отсутствие FHIR API у HIS партнёра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Движок HL7 v2; пакетная выгрузка; интеграция на 3-м году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Лицензирование SNOMED CT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Ранняя проверка; ICD-11 и LOINC как основа при необходимости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Регуляторные требования к медицинскому ПО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Исследовательский режим с врачебным контролем; ранний регуляторный анализ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t xml:space="preserve">21. Открытые вопросы для команды и партнёров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Кто из нефрологов отвечает за утверждение правил и порогов, и как оформляется процесс утверждения?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Какие поля, глубина истории и объём арабских текстов реально доступны в датасете Бушарского почечного центра и регистре?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Какая HIS используется в центре, есть ли FHIR API или только HL7 v2?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Какое оборудование (GPU, серверы) доступно или может быть закуплено на стороне партнёра?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Требуется ли регистрация как медицинского изделия (SaMD) в Омане на этапе пилота, или достаточно исследовательского режима с одобрением этического комитета?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Какой статус лицензии SNOMED CT в Омане и России?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Какое второе медицинское направление выбирается для демонстрации расширяемости на 3-м году?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Какие каналы связи с пациентами допустимы (собственное приложение, SMS, мессенджеры) с учётом требований к конфиденциальности?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Каков порядок обмена обезличенными данными между Низвой и ВШЭ для обучения моделей?</w:t>
      </w:r>
    </w:p>
    <w:p>
      <w:pPr>
        <w:pStyle w:val="Heading1"/>
        <w:pageBreakBefore/>
        <w:spacing w:after="200" w:before="360"/>
      </w:pPr>
      <w:r>
        <w:t xml:space="preserve">Приложение А. Сквозной пример обработки случая</w:t>
      </w:r>
    </w:p>
    <w:p>
      <w:pPr>
        <w:spacing w:after="120" w:line="276"/>
      </w:pPr>
      <w:r>
        <w:t xml:space="preserve">Пациент на гемодиализе получает ИАПФ. Поступает результат анализа K⁺ = 6,1 ммоль/л.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Адаптер ЛИС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Observation (LOINC 2823-3) сохранён в FHIR, событие lab.result опубликовано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Координатор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Создан случай, запущен lab_result_workflow v1.2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ok: данные свежие, полные, значение правдоподобно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Риск гиперкалиемии ≥ 6,5 в ближайшие 7 дней: 0,82 (ДИ 0,74–0,88); главный вклад — тренд K⁺ и ИАПФ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Рост K⁺ в трёх анализах подряд (5,2 → 5,7 → 6,1)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Нарушение: ИАПФ при K⁺ &gt; порога, ссылка на узел рекомендации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Повышенное потребление продуктов с высоким K⁺ 4 дня из 7 по данным приложения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Разрешение противоречий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Противоречий нет; R0 не применяется; флагов нет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Правила R-K-HIGH и R-K-TREND → L2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A8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Резюме с 6 ссылками на evidence; проверка чисел пройдена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Рабочий список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Случай в начале списка лечащего нефролога; уведомление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Врач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Принял, скорректировал терапию, назначил повторный анализ; действие записано в аудит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A9</w:t>
            </w:r>
          </w:p>
        </w:tc>
        <w:tc>
          <w:tcPr>
            <w:tcW w:type="dxa" w:w="6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Пациенту отправлено утверждённое сообщение на MSA о диете и повторном анализе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Приложение Б. Используемые открытые проекты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Проект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Использование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Medplum / HAPI FHIR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FHIR-хранилище, API, компоненты интерфейса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Temporal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Координатор сценариев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LangGraph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Управление диалогом A9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vLLM, LiteLLM, Langfuse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Инференс, шлюз, трассировка LLM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CAMeL Tools, SinaTools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Обработка арабского языка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Microsoft Presidio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Обезличивание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kfre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Базовая модель прогрессии ХБП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AHRQ CQL Services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Исполнение правил на CQL и CDS Hooks (опционально)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BaseAgent, MedKGent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Полуавтоматическое построение графа знаний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healthcare-agent-orchestrator (Microsoft)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Модуль оценки мультиагентной системы (адаптация)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MARC-v1, Multi-Agent-Medical-Assistant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Базы сравнения и образцы паттернов координации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RADAR-base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Альтернатива для сбора данных с носимых устройств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PatientFlow-AI · Архитектура · черновик 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DDD6FE" w:sz="6" w:space="4"/>
      </w:pBdr>
      <w:spacing w:after="200" w:before="120"/>
      <w:outlineLvl w:val="0"/>
    </w:pPr>
    <w:rPr>
      <w:rFonts w:ascii="Calibri" w:cs="Calibri" w:eastAsia="Calibri" w:hAnsi="Calibri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11e38be359c7d7f922166d02ee5e6fcb65746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PatientFlow-AI — архитектура</dc:title>
  <dc:creator>PatientFlow-AI team</dc:creator>
  <cp:lastModifiedBy>Un-named</cp:lastModifiedBy>
  <cp:revision>1</cp:revision>
  <dcterms:created xsi:type="dcterms:W3CDTF">2026-10-01T13:28:12.604Z</dcterms:created>
  <dcterms:modified xsi:type="dcterms:W3CDTF">2026-10-01T13:28:12.604Z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