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CF0C" w14:textId="10357EEE" w:rsidR="00EA6950" w:rsidRPr="00EA6950" w:rsidRDefault="00EA6950" w:rsidP="00EA6950">
      <w:pPr>
        <w:jc w:val="both"/>
      </w:pPr>
      <w:r w:rsidRPr="00EA6950">
        <w:t xml:space="preserve">The primary purpose of </w:t>
      </w:r>
      <w:r w:rsidRPr="00EA6950">
        <w:rPr>
          <w:b/>
          <w:bCs/>
        </w:rPr>
        <w:t>Multilevel Vector Autoregressive (VAR) models</w:t>
      </w:r>
      <w:r w:rsidRPr="00EA6950">
        <w:t xml:space="preserve"> is to analyze time-series data across multiple subjects. These models are particularly useful when individual measurement points are insufficient to estimate a separate VAR model for each person. By using a multilevel approach, individual parameters are shrunk toward the grand means, </w:t>
      </w:r>
      <w:proofErr w:type="spellStart"/>
      <w:r w:rsidRPr="00EA6950">
        <w:t>resul</w:t>
      </w:r>
      <w:proofErr w:type="spellEnd"/>
      <w:r w:rsidR="000E10ED">
        <w:t xml:space="preserve"> </w:t>
      </w:r>
      <w:r w:rsidRPr="00EA6950">
        <w:t>ting in more stable estimates with less variance.</w:t>
      </w:r>
    </w:p>
    <w:p w14:paraId="5C4CFBED" w14:textId="77777777" w:rsidR="00EA6950" w:rsidRPr="00EA6950" w:rsidRDefault="00EA6950" w:rsidP="00EA6950">
      <w:pPr>
        <w:jc w:val="both"/>
        <w:rPr>
          <w:b/>
          <w:bCs/>
        </w:rPr>
      </w:pPr>
      <w:r w:rsidRPr="00EA6950">
        <w:rPr>
          <w:b/>
          <w:bCs/>
          <w:highlight w:val="cyan"/>
        </w:rPr>
        <w:t>Key Model Structures</w:t>
      </w:r>
    </w:p>
    <w:p w14:paraId="10699F5F" w14:textId="77777777" w:rsidR="00EA6950" w:rsidRPr="00EA6950" w:rsidRDefault="00EA6950" w:rsidP="00EA6950">
      <w:pPr>
        <w:jc w:val="both"/>
      </w:pPr>
      <w:r w:rsidRPr="00EA6950">
        <w:t xml:space="preserve">The </w:t>
      </w:r>
      <w:proofErr w:type="spellStart"/>
      <w:r w:rsidRPr="00EA6950">
        <w:rPr>
          <w:color w:val="C00000"/>
        </w:rPr>
        <w:t>mlVAR</w:t>
      </w:r>
      <w:proofErr w:type="spellEnd"/>
      <w:r w:rsidRPr="00EA6950">
        <w:rPr>
          <w:color w:val="C00000"/>
        </w:rPr>
        <w:t xml:space="preserve"> package </w:t>
      </w:r>
      <w:r w:rsidRPr="00EA6950">
        <w:t>estimates three distinct network structures:</w:t>
      </w:r>
    </w:p>
    <w:p w14:paraId="3F13C50C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Temporal Networks:</w:t>
      </w:r>
      <w:r w:rsidRPr="00EA6950">
        <w:t xml:space="preserve"> These represent </w:t>
      </w:r>
      <w:r w:rsidRPr="00EA6950">
        <w:rPr>
          <w:b/>
          <w:bCs/>
        </w:rPr>
        <w:t>lagged effects</w:t>
      </w:r>
      <w:r w:rsidRPr="00EA6950">
        <w:t xml:space="preserve"> (typically lag-1), where each variable is predicted by itself and all other variables from the previous time point.</w:t>
      </w:r>
    </w:p>
    <w:p w14:paraId="747B2669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Contemporaneous Networks:</w:t>
      </w:r>
      <w:r w:rsidRPr="00EA6950">
        <w:t xml:space="preserve"> These capture the relationships between variables at the </w:t>
      </w:r>
      <w:r w:rsidRPr="00EA6950">
        <w:rPr>
          <w:b/>
          <w:bCs/>
        </w:rPr>
        <w:t>same time point</w:t>
      </w:r>
      <w:r w:rsidRPr="00EA6950">
        <w:t>, typically estimated post-hoc by analyzing the correlations or partial correlations of the residuals (innovations).</w:t>
      </w:r>
    </w:p>
    <w:p w14:paraId="337D8E2B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Between-Subjects Networks:</w:t>
      </w:r>
      <w:r w:rsidRPr="00EA6950">
        <w:t xml:space="preserve"> These represent the relationships between </w:t>
      </w:r>
      <w:r w:rsidRPr="00EA6950">
        <w:rPr>
          <w:b/>
          <w:bCs/>
        </w:rPr>
        <w:t>subject-specific means</w:t>
      </w:r>
      <w:r w:rsidRPr="00EA6950">
        <w:t>, showing how variables are related across different individuals.</w:t>
      </w:r>
    </w:p>
    <w:p w14:paraId="72C3E38E" w14:textId="77777777" w:rsidR="00EA6950" w:rsidRPr="00EA6950" w:rsidRDefault="00EA6950" w:rsidP="00EA6950">
      <w:pPr>
        <w:jc w:val="both"/>
        <w:rPr>
          <w:b/>
          <w:bCs/>
          <w:highlight w:val="cyan"/>
        </w:rPr>
      </w:pPr>
      <w:r w:rsidRPr="00EA6950">
        <w:rPr>
          <w:b/>
          <w:bCs/>
          <w:highlight w:val="cyan"/>
        </w:rPr>
        <w:t>Important Package Information</w:t>
      </w:r>
    </w:p>
    <w:p w14:paraId="5FFDB9EB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Estimation Method:</w:t>
      </w:r>
      <w:r w:rsidRPr="00EA6950">
        <w:t xml:space="preserve"> The </w:t>
      </w:r>
      <w:proofErr w:type="spellStart"/>
      <w:r w:rsidRPr="00EA6950">
        <w:t>mlVAR</w:t>
      </w:r>
      <w:proofErr w:type="spellEnd"/>
      <w:r w:rsidRPr="00EA6950">
        <w:t xml:space="preserve"> package primarily uses a </w:t>
      </w:r>
      <w:r w:rsidRPr="00EA6950">
        <w:rPr>
          <w:b/>
          <w:bCs/>
        </w:rPr>
        <w:t>2-step approximation</w:t>
      </w:r>
      <w:r w:rsidRPr="00EA6950">
        <w:t xml:space="preserve"> (nodewise estimation) to fit these models. It supports different estimators, including "</w:t>
      </w:r>
      <w:proofErr w:type="spellStart"/>
      <w:r w:rsidRPr="00EA6950">
        <w:t>lmer</w:t>
      </w:r>
      <w:proofErr w:type="spellEnd"/>
      <w:r w:rsidRPr="00EA6950">
        <w:t>" (sequential univariate multilevel estimation), "</w:t>
      </w:r>
      <w:proofErr w:type="spellStart"/>
      <w:r w:rsidRPr="00EA6950">
        <w:t>Mplus</w:t>
      </w:r>
      <w:proofErr w:type="spellEnd"/>
      <w:r w:rsidRPr="00EA6950">
        <w:t>" (multivariate Bayesian estimation), and "</w:t>
      </w:r>
      <w:proofErr w:type="spellStart"/>
      <w:r w:rsidRPr="00EA6950">
        <w:t>lm</w:t>
      </w:r>
      <w:proofErr w:type="spellEnd"/>
      <w:r w:rsidRPr="00EA6950">
        <w:t>" (fixed effects estimation).</w:t>
      </w:r>
    </w:p>
    <w:p w14:paraId="23D2459D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Testing Group Differences:</w:t>
      </w:r>
      <w:r w:rsidRPr="00EA6950">
        <w:t xml:space="preserve"> While researchers often compare these models between groups (e.g., patients vs. controls), formal inference has historically been difficult. The </w:t>
      </w:r>
      <w:proofErr w:type="spellStart"/>
      <w:r w:rsidRPr="00EA6950">
        <w:rPr>
          <w:b/>
          <w:bCs/>
        </w:rPr>
        <w:t>mnet</w:t>
      </w:r>
      <w:proofErr w:type="spellEnd"/>
      <w:r w:rsidRPr="00EA6950">
        <w:rPr>
          <w:b/>
          <w:bCs/>
        </w:rPr>
        <w:t xml:space="preserve"> R-package</w:t>
      </w:r>
      <w:r w:rsidRPr="00EA6950">
        <w:t xml:space="preserve"> was developed to address this by implementing </w:t>
      </w:r>
      <w:r w:rsidRPr="00EA6950">
        <w:rPr>
          <w:b/>
          <w:bCs/>
        </w:rPr>
        <w:t>parametric and nonparametric permutation tests</w:t>
      </w:r>
      <w:r w:rsidRPr="00EA6950">
        <w:t xml:space="preserve"> specifically for </w:t>
      </w:r>
      <w:proofErr w:type="spellStart"/>
      <w:r w:rsidRPr="00EA6950">
        <w:t>mlVAR</w:t>
      </w:r>
      <w:proofErr w:type="spellEnd"/>
      <w:r w:rsidRPr="00EA6950">
        <w:t xml:space="preserve"> models.</w:t>
      </w:r>
    </w:p>
    <w:p w14:paraId="54C55853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Centering:</w:t>
      </w:r>
      <w:r w:rsidRPr="00EA6950">
        <w:t xml:space="preserve"> When using these models, the choice of centering is critical; "</w:t>
      </w:r>
      <w:proofErr w:type="spellStart"/>
      <w:r w:rsidRPr="00EA6950">
        <w:t>inSubject</w:t>
      </w:r>
      <w:proofErr w:type="spellEnd"/>
      <w:r w:rsidRPr="00EA6950">
        <w:t xml:space="preserve">" centering leads to coefficients representing </w:t>
      </w:r>
      <w:r w:rsidRPr="00EA6950">
        <w:rPr>
          <w:b/>
          <w:bCs/>
        </w:rPr>
        <w:t>within-person slopes</w:t>
      </w:r>
      <w:r w:rsidRPr="00EA6950">
        <w:t>, whereas "general" centering results in a blend of within- and between-person effects.</w:t>
      </w:r>
    </w:p>
    <w:p w14:paraId="31DA3C26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Package Status:</w:t>
      </w:r>
      <w:r w:rsidRPr="00EA6950">
        <w:t xml:space="preserve"> The source material notes that mlVAR0 is a deprecated version of the tool and will be removed soon; users should use the current </w:t>
      </w:r>
      <w:proofErr w:type="spellStart"/>
      <w:r w:rsidRPr="00EA6950">
        <w:t>mlVAR</w:t>
      </w:r>
      <w:proofErr w:type="spellEnd"/>
      <w:r w:rsidRPr="00EA6950">
        <w:t xml:space="preserve"> functions for estimation.</w:t>
      </w:r>
    </w:p>
    <w:p w14:paraId="1C424909" w14:textId="77777777" w:rsidR="00EA6950" w:rsidRPr="00EA6950" w:rsidRDefault="00EA6950" w:rsidP="00EA6950">
      <w:pPr>
        <w:jc w:val="both"/>
        <w:rPr>
          <w:b/>
          <w:bCs/>
          <w:highlight w:val="cyan"/>
        </w:rPr>
      </w:pPr>
      <w:r w:rsidRPr="00EA6950">
        <w:rPr>
          <w:b/>
          <w:bCs/>
          <w:highlight w:val="cyan"/>
        </w:rPr>
        <w:t>Critical Considerations</w:t>
      </w:r>
    </w:p>
    <w:p w14:paraId="35F89FD5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Bias in Between-Person Networks:</w:t>
      </w:r>
      <w:r w:rsidRPr="00EA6950">
        <w:t xml:space="preserve"> Evidence suggests the 2-step procedure used in </w:t>
      </w:r>
      <w:proofErr w:type="spellStart"/>
      <w:r w:rsidRPr="00EA6950">
        <w:t>mlVAR</w:t>
      </w:r>
      <w:proofErr w:type="spellEnd"/>
      <w:r w:rsidRPr="00EA6950">
        <w:t xml:space="preserve"> can lead to </w:t>
      </w:r>
      <w:r w:rsidRPr="00EA6950">
        <w:rPr>
          <w:b/>
          <w:bCs/>
        </w:rPr>
        <w:t>biased estimates</w:t>
      </w:r>
      <w:r w:rsidRPr="00EA6950">
        <w:t xml:space="preserve"> of the population between-person network, which can negatively impact the detection of group differences in that specific network.</w:t>
      </w:r>
    </w:p>
    <w:p w14:paraId="1E1885BF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Sample Size Requirements:</w:t>
      </w:r>
      <w:r w:rsidRPr="00EA6950">
        <w:t xml:space="preserve"> Reliable recovery of group differences depends on the number of subjects (</w:t>
      </w:r>
      <w:proofErr w:type="spellStart"/>
      <w:r w:rsidRPr="00EA6950">
        <w:rPr>
          <w:i/>
          <w:iCs/>
        </w:rPr>
        <w:t>Nsubj</w:t>
      </w:r>
      <w:proofErr w:type="spellEnd"/>
      <w:r w:rsidRPr="00EA6950">
        <w:t>) and the size of the difference (</w:t>
      </w:r>
      <w:r w:rsidRPr="00EA6950">
        <w:rPr>
          <w:lang w:val="fr-FR"/>
        </w:rPr>
        <w:t>Δ</w:t>
      </w:r>
      <w:r w:rsidRPr="00EA6950">
        <w:t xml:space="preserve">). For example, 50 subjects may be insufficient to detect small or medium differences, whereas </w:t>
      </w:r>
      <w:r w:rsidRPr="00EA6950">
        <w:rPr>
          <w:b/>
          <w:bCs/>
        </w:rPr>
        <w:t>100 to 200 subjects</w:t>
      </w:r>
      <w:r w:rsidRPr="00EA6950">
        <w:t xml:space="preserve"> generally provide high performance.</w:t>
      </w:r>
    </w:p>
    <w:p w14:paraId="2DCFC249" w14:textId="77777777" w:rsidR="00EA6950" w:rsidRPr="00EA6950" w:rsidRDefault="00EA6950" w:rsidP="00EA6950">
      <w:pPr>
        <w:jc w:val="both"/>
      </w:pPr>
      <w:r w:rsidRPr="00EA6950">
        <w:t xml:space="preserve">• </w:t>
      </w:r>
      <w:r w:rsidRPr="00EA6950">
        <w:rPr>
          <w:b/>
          <w:bCs/>
        </w:rPr>
        <w:t>Permutation Test Recommendation:</w:t>
      </w:r>
      <w:r w:rsidRPr="00EA6950">
        <w:t xml:space="preserve"> In empirical research, the </w:t>
      </w:r>
      <w:r w:rsidRPr="00EA6950">
        <w:rPr>
          <w:b/>
          <w:bCs/>
        </w:rPr>
        <w:t>permutation test</w:t>
      </w:r>
      <w:r w:rsidRPr="00EA6950">
        <w:t xml:space="preserve"> is often preferred over parametric tests because it does not assume Gaussian residuals or heterogeneity and allows for testing differences in </w:t>
      </w:r>
      <w:r w:rsidRPr="00EA6950">
        <w:rPr>
          <w:b/>
          <w:bCs/>
        </w:rPr>
        <w:t>random effects variances</w:t>
      </w:r>
      <w:r w:rsidRPr="00EA6950">
        <w:t>.</w:t>
      </w:r>
    </w:p>
    <w:p w14:paraId="165D3274" w14:textId="77777777" w:rsidR="00EA6950" w:rsidRPr="00EA6950" w:rsidRDefault="00EA6950" w:rsidP="00EA6950">
      <w:pPr>
        <w:jc w:val="both"/>
        <w:rPr>
          <w:lang w:val="fr-FR"/>
        </w:rPr>
      </w:pPr>
      <w:r w:rsidRPr="00EA6950">
        <w:lastRenderedPageBreak/>
        <w:t xml:space="preserve">I can create a </w:t>
      </w:r>
      <w:r w:rsidRPr="00EA6950">
        <w:rPr>
          <w:b/>
          <w:bCs/>
        </w:rPr>
        <w:t>tailored report</w:t>
      </w:r>
      <w:r w:rsidRPr="00EA6950">
        <w:t xml:space="preserve"> summarizing the specific statistical performance of these tests if you would like to see more details on the simulation results. </w:t>
      </w:r>
      <w:proofErr w:type="spellStart"/>
      <w:r w:rsidRPr="00EA6950">
        <w:rPr>
          <w:lang w:val="fr-FR"/>
        </w:rPr>
        <w:t>Would</w:t>
      </w:r>
      <w:proofErr w:type="spellEnd"/>
      <w:r w:rsidRPr="00EA6950">
        <w:rPr>
          <w:lang w:val="fr-FR"/>
        </w:rPr>
        <w:t xml:space="preserve"> </w:t>
      </w:r>
      <w:proofErr w:type="spellStart"/>
      <w:r w:rsidRPr="00EA6950">
        <w:rPr>
          <w:lang w:val="fr-FR"/>
        </w:rPr>
        <w:t>you</w:t>
      </w:r>
      <w:proofErr w:type="spellEnd"/>
      <w:r w:rsidRPr="00EA6950">
        <w:rPr>
          <w:lang w:val="fr-FR"/>
        </w:rPr>
        <w:t xml:space="preserve"> like me to do </w:t>
      </w:r>
      <w:proofErr w:type="spellStart"/>
      <w:proofErr w:type="gramStart"/>
      <w:r w:rsidRPr="00EA6950">
        <w:rPr>
          <w:lang w:val="fr-FR"/>
        </w:rPr>
        <w:t>that</w:t>
      </w:r>
      <w:proofErr w:type="spellEnd"/>
      <w:r w:rsidRPr="00EA6950">
        <w:rPr>
          <w:lang w:val="fr-FR"/>
        </w:rPr>
        <w:t>?</w:t>
      </w:r>
      <w:proofErr w:type="gramEnd"/>
    </w:p>
    <w:p w14:paraId="4948156D" w14:textId="77777777" w:rsidR="00BE05F0" w:rsidRDefault="00BE05F0" w:rsidP="00EA6950">
      <w:pPr>
        <w:jc w:val="both"/>
      </w:pPr>
    </w:p>
    <w:sectPr w:rsidR="00BE0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50"/>
    <w:rsid w:val="0008722C"/>
    <w:rsid w:val="000E10ED"/>
    <w:rsid w:val="001E22F8"/>
    <w:rsid w:val="00441B09"/>
    <w:rsid w:val="004F3AFC"/>
    <w:rsid w:val="005616C7"/>
    <w:rsid w:val="00676C9E"/>
    <w:rsid w:val="006E2F92"/>
    <w:rsid w:val="007D1B20"/>
    <w:rsid w:val="00904D20"/>
    <w:rsid w:val="00A52035"/>
    <w:rsid w:val="00B579C1"/>
    <w:rsid w:val="00BE05F0"/>
    <w:rsid w:val="00CA7875"/>
    <w:rsid w:val="00EA0DD8"/>
    <w:rsid w:val="00EA6950"/>
    <w:rsid w:val="00F3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36949B"/>
  <w14:defaultImageDpi w14:val="32767"/>
  <w15:chartTrackingRefBased/>
  <w15:docId w15:val="{D9C9DF7E-8A47-4519-B2CB-01D14B2D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AFC"/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9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9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9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9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9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9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9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aliases w:val="Citations"/>
    <w:basedOn w:val="DefaultParagraphFont"/>
    <w:uiPriority w:val="22"/>
    <w:qFormat/>
    <w:rsid w:val="00441B09"/>
    <w:rPr>
      <w:rFonts w:ascii="Times New Roman" w:hAnsi="Times New Roman"/>
      <w:b w:val="0"/>
      <w:bCs/>
      <w:i w:val="0"/>
      <w:color w:val="0000FA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A69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9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95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950"/>
    <w:rPr>
      <w:rFonts w:eastAsiaTheme="majorEastAsia" w:cstheme="majorBidi"/>
      <w:i/>
      <w:iCs/>
      <w:color w:val="2F5496" w:themeColor="accent1" w:themeShade="BF"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950"/>
    <w:rPr>
      <w:rFonts w:eastAsiaTheme="majorEastAsia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950"/>
    <w:rPr>
      <w:rFonts w:eastAsiaTheme="majorEastAsia" w:cstheme="majorBidi"/>
      <w:i/>
      <w:iCs/>
      <w:color w:val="595959" w:themeColor="text1" w:themeTint="A6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950"/>
    <w:rPr>
      <w:rFonts w:eastAsiaTheme="majorEastAsia" w:cstheme="majorBidi"/>
      <w:color w:val="595959" w:themeColor="text1" w:themeTint="A6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950"/>
    <w:rPr>
      <w:rFonts w:eastAsiaTheme="majorEastAsia" w:cstheme="majorBidi"/>
      <w:i/>
      <w:iCs/>
      <w:color w:val="272727" w:themeColor="text1" w:themeTint="D8"/>
      <w:sz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950"/>
    <w:rPr>
      <w:rFonts w:eastAsiaTheme="majorEastAsia" w:cstheme="majorBidi"/>
      <w:color w:val="272727" w:themeColor="text1" w:themeTint="D8"/>
      <w:sz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A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95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9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95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A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950"/>
    <w:rPr>
      <w:rFonts w:ascii="Times New Roman" w:hAnsi="Times New Roman"/>
      <w:i/>
      <w:iCs/>
      <w:color w:val="404040" w:themeColor="text1" w:themeTint="BF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EA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950"/>
    <w:rPr>
      <w:rFonts w:ascii="Times New Roman" w:hAnsi="Times New Roman"/>
      <w:i/>
      <w:iCs/>
      <w:color w:val="2F5496" w:themeColor="accent1" w:themeShade="BF"/>
      <w:sz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EA6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kolman</dc:creator>
  <cp:keywords/>
  <dc:description/>
  <cp:lastModifiedBy>kolman</cp:lastModifiedBy>
  <cp:revision>1</cp:revision>
  <dcterms:created xsi:type="dcterms:W3CDTF">2026-02-06T09:34:00Z</dcterms:created>
  <dcterms:modified xsi:type="dcterms:W3CDTF">2026-02-06T10:08:00Z</dcterms:modified>
</cp:coreProperties>
</file>