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350"/>
        <w:tblBorders>
          <w:top w:val="none"/>
          <w:left w:val="none"/>
          <w:bottom w:val="none"/>
          <w:right w:val="none"/>
          <w:insideH w:val="none"/>
          <w:insideV w:val="none"/>
        </w:tblBorders>
      </w:tblPr>
      <w:tblGrid>
        <w:gridCol w:w="9350"/>
      </w:tblGrid>
      <w:tr>
        <w:tc>
          <w:tcPr>
            <w:tcW w:type="dxa" w:w="9350"/>
            <w:shd w:fill="1B2A4A" w:val="clear"/>
            <w:tcMar>
              <w:top w:type="dxa" w:w="700"/>
              <w:left w:type="dxa" w:w="500"/>
              <w:bottom w:type="dxa" w:w="700"/>
              <w:right w:type="dxa" w:w="500"/>
            </w:tcMar>
          </w:tcPr>
          <w:p>
            <w:pPr>
              <w:jc w:val="center"/>
            </w:pPr>
            <w:r>
              <w:rPr>
                <w:sz w:val="72"/>
                <w:szCs w:val="72"/>
              </w:rPr>
              <w:t xml:space="preserve">📡</w:t>
            </w:r>
          </w:p>
          <w:p>
            <w:pPr>
              <w:spacing w:before="200"/>
              <w:jc w:val="center"/>
            </w:pPr>
            <w:r>
              <w:rPr>
                <w:b/>
                <w:bCs/>
                <w:color w:val="FFFFFF"/>
                <w:sz w:val="48"/>
                <w:szCs w:val="48"/>
              </w:rPr>
              <w:t xml:space="preserve">IoT INTERNSHIP REPORT</w:t>
            </w:r>
          </w:p>
          <w:p>
            <w:pPr>
              <w:spacing w:before="160"/>
              <w:jc w:val="center"/>
            </w:pPr>
            <w:r>
              <w:rPr>
                <w:i/>
                <w:iCs/>
                <w:color w:val="BFD7F5"/>
                <w:sz w:val="22"/>
                <w:szCs w:val="22"/>
              </w:rPr>
              <w:t xml:space="preserve">Internet of Things — Device Communication, Simulation, Monitoring &amp; Automation</w:t>
            </w:r>
          </w:p>
          <w:p>
            <w:pPr>
              <w:pBdr>
                <w:top w:val="single" w:color="0FA3A3" w:sz="6" w:space="10"/>
              </w:pBdr>
              <w:spacing w:before="500"/>
              <w:jc w:val="center"/>
            </w:pPr>
            <w:r>
              <w:t xml:space="preserve"/>
            </w:r>
          </w:p>
          <w:p>
            <w:pPr>
              <w:spacing w:before="300"/>
              <w:jc w:val="center"/>
            </w:pPr>
            <w:r>
              <w:rPr>
                <w:color w:val="9FB3D1"/>
                <w:sz w:val="20"/>
                <w:szCs w:val="20"/>
              </w:rPr>
              <w:t xml:space="preserve">Submitted by</w:t>
            </w:r>
          </w:p>
          <w:p>
            <w:pPr>
              <w:spacing w:before="80"/>
              <w:jc w:val="center"/>
            </w:pPr>
            <w:r>
              <w:rPr>
                <w:b/>
                <w:bCs/>
                <w:color w:val="0FA3A3"/>
                <w:sz w:val="34"/>
                <w:szCs w:val="34"/>
              </w:rPr>
              <w:t xml:space="preserve">Sohail Ahmed</w:t>
            </w:r>
          </w:p>
          <w:p>
            <w:pPr>
              <w:spacing w:before="120"/>
              <w:jc w:val="center"/>
            </w:pPr>
            <w:r>
              <w:rPr>
                <w:color w:val="FFFFFF"/>
                <w:sz w:val="21"/>
                <w:szCs w:val="21"/>
              </w:rPr>
              <w:t xml:space="preserve">✉  kolachisohailahmed55@gmail.com</w:t>
            </w:r>
          </w:p>
          <w:p>
            <w:pPr>
              <w:spacing w:before="400"/>
              <w:jc w:val="center"/>
            </w:pPr>
            <w:r>
              <w:rPr>
                <w:color w:val="9FB3D1"/>
                <w:sz w:val="20"/>
                <w:szCs w:val="20"/>
              </w:rPr>
              <w:t xml:space="preserve">Organization</w:t>
            </w:r>
          </w:p>
          <w:p>
            <w:pPr>
              <w:spacing w:before="80"/>
              <w:jc w:val="center"/>
            </w:pPr>
            <w:r>
              <w:rPr>
                <w:b/>
                <w:bCs/>
                <w:color w:val="F2994A"/>
                <w:sz w:val="30"/>
                <w:szCs w:val="30"/>
              </w:rPr>
              <w:t xml:space="preserve">DecideLab</w:t>
            </w:r>
          </w:p>
        </w:tc>
      </w:tr>
    </w:tbl>
    <w:p>
      <w:r>
        <w:br w:type="page"/>
      </w:r>
    </w:p>
    <w:p>
      <w:pPr>
        <w:sectPr>
          <w:pgSz w:w="12240" w:h="15840" w:orient="portrait"/>
          <w:pgMar w:top="900" w:right="900" w:bottom="900" w:left="900" w:header="708" w:footer="708" w:gutter="0"/>
          <w:pgNumType/>
          <w:docGrid w:linePitch="360"/>
        </w:sectPr>
      </w:pPr>
    </w:p>
    <w:tbl>
      <w:tblPr>
        <w:tblW w:type="dxa" w:w="9350"/>
        <w:tblBorders>
          <w:top w:val="none"/>
          <w:left w:val="none"/>
          <w:bottom w:val="none"/>
          <w:right w:val="none"/>
          <w:insideH w:val="none"/>
          <w:insideV w:val="none"/>
        </w:tblBorders>
      </w:tblPr>
      <w:tblGrid>
        <w:gridCol w:w="9350"/>
      </w:tblGrid>
      <w:tr>
        <w:tc>
          <w:tcPr>
            <w:tcW w:type="dxa" w:w="9350"/>
            <w:shd w:fill="1B2A4A" w:val="clear"/>
            <w:tcMar>
              <w:top w:type="dxa" w:w="160"/>
              <w:left w:type="dxa" w:w="260"/>
              <w:bottom w:type="dxa" w:w="160"/>
              <w:right w:type="dxa" w:w="260"/>
            </w:tcMar>
          </w:tcPr>
          <w:p>
            <w:r>
              <w:rPr>
                <w:b/>
                <w:bCs/>
                <w:color w:val="FFFFFF"/>
                <w:sz w:val="30"/>
                <w:szCs w:val="30"/>
              </w:rPr>
              <w:t xml:space="preserve">Task 1  |  Introduction to IoT &amp; Device Communication</w:t>
            </w:r>
          </w:p>
        </w:tc>
      </w:tr>
    </w:tbl>
    <w:p>
      <w:pPr>
        <w:spacing w:after="160" w:line="300"/>
      </w:pPr>
      <w:r>
        <w:rPr>
          <w:color w:val="2B2B2B"/>
          <w:sz w:val="22"/>
          <w:szCs w:val="22"/>
        </w:rPr>
        <w:t xml:space="preserve">The Internet of Things (IoT) refers to a network of physical devices — sensors, actuators, and embedded systems — that connect, collect, and exchange data over the internet without requiring constant human involvement. This task focused on understanding the foundational concepts of IoT and how devices communicate with each other and with central systems.</w:t>
      </w:r>
    </w:p>
    <w:p>
      <w:pPr>
        <w:pBdr>
          <w:left w:val="single" w:color="0FA3A3" w:sz="24" w:space="8"/>
        </w:pBdr>
        <w:spacing w:after="120" w:before="260"/>
      </w:pPr>
      <w:r>
        <w:rPr>
          <w:b/>
          <w:bCs/>
          <w:color w:val="0FA3A3"/>
          <w:sz w:val="25"/>
          <w:szCs w:val="25"/>
        </w:rPr>
        <w:t xml:space="preserve">Key Concepts Covered</w:t>
      </w:r>
    </w:p>
    <w:p>
      <w:pPr>
        <w:spacing w:after="90"/>
        <w:ind w:left="360"/>
      </w:pPr>
      <w:r>
        <w:rPr>
          <w:b/>
          <w:bCs/>
          <w:color w:val="0FA3A3"/>
          <w:sz w:val="22"/>
          <w:szCs w:val="22"/>
        </w:rPr>
        <w:t xml:space="preserve">●  </w:t>
      </w:r>
      <w:r>
        <w:rPr>
          <w:color w:val="2B2B2B"/>
          <w:sz w:val="22"/>
          <w:szCs w:val="22"/>
        </w:rPr>
        <w:t xml:space="preserve">IoT Architecture: Perception layer (sensors/actuators), Network layer (connectivity), and Application layer (data processing &amp; user interface).</w:t>
      </w:r>
    </w:p>
    <w:p>
      <w:pPr>
        <w:spacing w:after="90"/>
        <w:ind w:left="360"/>
      </w:pPr>
      <w:r>
        <w:rPr>
          <w:b/>
          <w:bCs/>
          <w:color w:val="0FA3A3"/>
          <w:sz w:val="22"/>
          <w:szCs w:val="22"/>
        </w:rPr>
        <w:t xml:space="preserve">●  </w:t>
      </w:r>
      <w:r>
        <w:rPr>
          <w:color w:val="2B2B2B"/>
          <w:sz w:val="22"/>
          <w:szCs w:val="22"/>
        </w:rPr>
        <w:t xml:space="preserve">Device Communication Protocols: MQTT, HTTP, CoAP, and Bluetooth/Wi-Fi were studied as common methods for device-to-cloud and device-to-device communication.</w:t>
      </w:r>
    </w:p>
    <w:p>
      <w:pPr>
        <w:spacing w:after="90"/>
        <w:ind w:left="360"/>
      </w:pPr>
      <w:r>
        <w:rPr>
          <w:b/>
          <w:bCs/>
          <w:color w:val="0FA3A3"/>
          <w:sz w:val="22"/>
          <w:szCs w:val="22"/>
        </w:rPr>
        <w:t xml:space="preserve">●  </w:t>
      </w:r>
      <w:r>
        <w:rPr>
          <w:color w:val="2B2B2B"/>
          <w:sz w:val="22"/>
          <w:szCs w:val="22"/>
        </w:rPr>
        <w:t xml:space="preserve">Sensors &amp; Actuators: Devices such as temperature, humidity, and motion sensors gather real-world data, while actuators (fans, lights, relays) act on that data.</w:t>
      </w:r>
    </w:p>
    <w:p>
      <w:pPr>
        <w:spacing w:after="90"/>
        <w:ind w:left="360"/>
      </w:pPr>
      <w:r>
        <w:rPr>
          <w:b/>
          <w:bCs/>
          <w:color w:val="0FA3A3"/>
          <w:sz w:val="22"/>
          <w:szCs w:val="22"/>
        </w:rPr>
        <w:t xml:space="preserve">●  </w:t>
      </w:r>
      <w:r>
        <w:rPr>
          <w:color w:val="2B2B2B"/>
          <w:sz w:val="22"/>
          <w:szCs w:val="22"/>
        </w:rPr>
        <w:t xml:space="preserve">Edge vs Cloud Processing: Understanding where data is processed — locally on the device (edge) or remotely on servers (cloud).</w:t>
      </w:r>
    </w:p>
    <w:p>
      <w:pPr>
        <w:pBdr>
          <w:left w:val="single" w:color="F2994A" w:sz="24" w:space="8"/>
        </w:pBdr>
        <w:spacing w:after="120" w:before="260"/>
      </w:pPr>
      <w:r>
        <w:rPr>
          <w:b/>
          <w:bCs/>
          <w:color w:val="F2994A"/>
          <w:sz w:val="25"/>
          <w:szCs w:val="25"/>
        </w:rPr>
        <w:t xml:space="preserve">Why It Matters</w:t>
      </w:r>
    </w:p>
    <w:p>
      <w:pPr>
        <w:spacing w:after="160" w:line="300"/>
      </w:pPr>
      <w:r>
        <w:rPr>
          <w:color w:val="2B2B2B"/>
          <w:sz w:val="22"/>
          <w:szCs w:val="22"/>
        </w:rPr>
        <w:t xml:space="preserve">A solid grasp of IoT fundamentals and communication protocols forms the base for every subsequent task in this internship — from simulating sensor data to building automation rules that react to real-world conditions.</w:t>
      </w:r>
    </w:p>
    <w:p>
      <w:r>
        <w:br w:type="page"/>
      </w:r>
    </w:p>
    <w:tbl>
      <w:tblPr>
        <w:tblW w:type="dxa" w:w="9350"/>
        <w:tblBorders>
          <w:top w:val="none"/>
          <w:left w:val="none"/>
          <w:bottom w:val="none"/>
          <w:right w:val="none"/>
          <w:insideH w:val="none"/>
          <w:insideV w:val="none"/>
        </w:tblBorders>
      </w:tblPr>
      <w:tblGrid>
        <w:gridCol w:w="9350"/>
      </w:tblGrid>
      <w:tr>
        <w:tc>
          <w:tcPr>
            <w:tcW w:type="dxa" w:w="9350"/>
            <w:shd w:fill="0FA3A3" w:val="clear"/>
            <w:tcMar>
              <w:top w:type="dxa" w:w="160"/>
              <w:left w:type="dxa" w:w="260"/>
              <w:bottom w:type="dxa" w:w="160"/>
              <w:right w:type="dxa" w:w="260"/>
            </w:tcMar>
          </w:tcPr>
          <w:p>
            <w:r>
              <w:rPr>
                <w:b/>
                <w:bCs/>
                <w:color w:val="FFFFFF"/>
                <w:sz w:val="30"/>
                <w:szCs w:val="30"/>
              </w:rPr>
              <w:t xml:space="preserve">Task 2  |  Sensor Data Simulation</w:t>
            </w:r>
          </w:p>
        </w:tc>
      </w:tr>
    </w:tbl>
    <w:p>
      <w:pPr>
        <w:spacing w:after="160" w:line="300"/>
      </w:pPr>
      <w:r>
        <w:rPr>
          <w:color w:val="2B2B2B"/>
          <w:sz w:val="22"/>
          <w:szCs w:val="22"/>
        </w:rPr>
        <w:t xml:space="preserve">In this task, a Python script was used to simulate real-world IoT sensor readings — Temperature, Humidity, and Motion — since physical hardware was not directly connected. The simulation generated 10 sequential sensor readings and stored them for further analysis.</w:t>
      </w:r>
    </w:p>
    <w:p>
      <w:pPr>
        <w:pBdr>
          <w:left w:val="single" w:color="F2994A" w:sz="24" w:space="8"/>
        </w:pBdr>
        <w:spacing w:after="120" w:before="260"/>
      </w:pPr>
      <w:r>
        <w:rPr>
          <w:b/>
          <w:bCs/>
          <w:color w:val="F2994A"/>
          <w:sz w:val="25"/>
          <w:szCs w:val="25"/>
        </w:rPr>
        <w:t xml:space="preserve">Simulation Output</w:t>
      </w:r>
    </w:p>
    <w:p>
      <w:pPr>
        <w:spacing w:after="80" w:before="120"/>
        <w:jc w:val="center"/>
      </w:pPr>
      <w:r>
        <w:drawing>
          <wp:inline distT="0" distB="0" distL="0" distR="0">
            <wp:extent cx="5334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76450"/>
                    </a:xfrm>
                    <a:prstGeom prst="rect">
                      <a:avLst/>
                    </a:prstGeom>
                  </pic:spPr>
                </pic:pic>
              </a:graphicData>
            </a:graphic>
          </wp:inline>
        </w:drawing>
      </w:r>
    </w:p>
    <w:p>
      <w:pPr>
        <w:spacing w:after="260" w:before="100"/>
        <w:jc w:val="center"/>
      </w:pPr>
      <w:r>
        <w:rPr>
          <w:i/>
          <w:iCs/>
          <w:color w:val="6B7280"/>
          <w:sz w:val="20"/>
          <w:szCs w:val="20"/>
        </w:rPr>
        <w:t xml:space="preserve">Fig 2.1 — Simulated sensor readings (Temperature, Humidity, Motion) and generated sensor_data.csv</w:t>
      </w:r>
    </w:p>
    <w:p>
      <w:pPr>
        <w:pBdr>
          <w:left w:val="single" w:color="7C4DFF" w:sz="24" w:space="8"/>
        </w:pBdr>
        <w:spacing w:after="120" w:before="260"/>
      </w:pPr>
      <w:r>
        <w:rPr>
          <w:b/>
          <w:bCs/>
          <w:color w:val="7C4DFF"/>
          <w:sz w:val="25"/>
          <w:szCs w:val="25"/>
        </w:rPr>
        <w:t xml:space="preserve">Process Summary</w:t>
      </w:r>
    </w:p>
    <w:p>
      <w:pPr>
        <w:spacing w:after="90"/>
        <w:ind w:left="360"/>
      </w:pPr>
      <w:r>
        <w:rPr>
          <w:b/>
          <w:bCs/>
          <w:color w:val="7C4DFF"/>
          <w:sz w:val="22"/>
          <w:szCs w:val="22"/>
        </w:rPr>
        <w:t xml:space="preserve">●  </w:t>
      </w:r>
      <w:r>
        <w:rPr>
          <w:color w:val="2B2B2B"/>
          <w:sz w:val="22"/>
          <w:szCs w:val="22"/>
        </w:rPr>
        <w:t xml:space="preserve">Random values were generated within realistic ranges: Temperature (22°C–39°C), Humidity (36%–70%), Motion (0 or 1).</w:t>
      </w:r>
    </w:p>
    <w:p>
      <w:pPr>
        <w:spacing w:after="90"/>
        <w:ind w:left="360"/>
      </w:pPr>
      <w:r>
        <w:rPr>
          <w:b/>
          <w:bCs/>
          <w:color w:val="7C4DFF"/>
          <w:sz w:val="22"/>
          <w:szCs w:val="22"/>
        </w:rPr>
        <w:t xml:space="preserve">●  </w:t>
      </w:r>
      <w:r>
        <w:rPr>
          <w:color w:val="2B2B2B"/>
          <w:sz w:val="22"/>
          <w:szCs w:val="22"/>
        </w:rPr>
        <w:t xml:space="preserve">10 readings were produced in sequence, each labeled 'Reading 1' through 'Reading 10'.</w:t>
      </w:r>
    </w:p>
    <w:p>
      <w:pPr>
        <w:spacing w:after="90"/>
        <w:ind w:left="360"/>
      </w:pPr>
      <w:r>
        <w:rPr>
          <w:b/>
          <w:bCs/>
          <w:color w:val="7C4DFF"/>
          <w:sz w:val="22"/>
          <w:szCs w:val="22"/>
        </w:rPr>
        <w:t xml:space="preserve">●  </w:t>
      </w:r>
      <w:r>
        <w:rPr>
          <w:color w:val="2B2B2B"/>
          <w:sz w:val="22"/>
          <w:szCs w:val="22"/>
        </w:rPr>
        <w:t xml:space="preserve">The dataset was structured into a table with columns: Temperature, Humidity, and Motion.</w:t>
      </w:r>
    </w:p>
    <w:p>
      <w:pPr>
        <w:spacing w:after="90"/>
        <w:ind w:left="360"/>
      </w:pPr>
      <w:r>
        <w:rPr>
          <w:b/>
          <w:bCs/>
          <w:color w:val="7C4DFF"/>
          <w:sz w:val="22"/>
          <w:szCs w:val="22"/>
        </w:rPr>
        <w:t xml:space="preserve">●  </w:t>
      </w:r>
      <w:r>
        <w:rPr>
          <w:color w:val="2B2B2B"/>
          <w:sz w:val="22"/>
          <w:szCs w:val="22"/>
        </w:rPr>
        <w:t xml:space="preserve">Results were exported and saved as sensor_data.csv for use in the dashboard and automation tasks.</w:t>
      </w:r>
    </w:p>
    <w:p>
      <w:r>
        <w:br w:type="page"/>
      </w:r>
    </w:p>
    <w:tbl>
      <w:tblPr>
        <w:tblW w:type="dxa" w:w="9350"/>
        <w:tblBorders>
          <w:top w:val="none"/>
          <w:left w:val="none"/>
          <w:bottom w:val="none"/>
          <w:right w:val="none"/>
          <w:insideH w:val="none"/>
          <w:insideV w:val="none"/>
        </w:tblBorders>
      </w:tblPr>
      <w:tblGrid>
        <w:gridCol w:w="9350"/>
      </w:tblGrid>
      <w:tr>
        <w:tc>
          <w:tcPr>
            <w:tcW w:type="dxa" w:w="9350"/>
            <w:shd w:fill="F2994A" w:val="clear"/>
            <w:tcMar>
              <w:top w:type="dxa" w:w="160"/>
              <w:left w:type="dxa" w:w="260"/>
              <w:bottom w:type="dxa" w:w="160"/>
              <w:right w:type="dxa" w:w="260"/>
            </w:tcMar>
          </w:tcPr>
          <w:p>
            <w:r>
              <w:rPr>
                <w:b/>
                <w:bCs/>
                <w:color w:val="FFFFFF"/>
                <w:sz w:val="30"/>
                <w:szCs w:val="30"/>
              </w:rPr>
              <w:t xml:space="preserve">Task 3  |  IoT Data Monitoring Dashboard 📊</w:t>
            </w:r>
          </w:p>
        </w:tc>
      </w:tr>
    </w:tbl>
    <w:p>
      <w:pPr>
        <w:spacing w:after="160" w:line="300"/>
      </w:pPr>
      <w:r>
        <w:rPr>
          <w:color w:val="2B2B2B"/>
          <w:sz w:val="22"/>
          <w:szCs w:val="22"/>
        </w:rPr>
        <w:t xml:space="preserve">Using the simulated sensor data from Task 2, this task focused on visualizing the readings to make trends and anomalies easy to spot. Two line charts were created — one for Temperature and one for Humidity — plotted against the reading number.</w:t>
      </w:r>
    </w:p>
    <w:p>
      <w:pPr>
        <w:pBdr>
          <w:left w:val="single" w:color="0FA3A3" w:sz="24" w:space="8"/>
        </w:pBdr>
        <w:spacing w:after="120" w:before="260"/>
      </w:pPr>
      <w:r>
        <w:rPr>
          <w:b/>
          <w:bCs/>
          <w:color w:val="0FA3A3"/>
          <w:sz w:val="25"/>
          <w:szCs w:val="25"/>
        </w:rPr>
        <w:t xml:space="preserve">Temperature Trend</w:t>
      </w:r>
    </w:p>
    <w:p>
      <w:pPr>
        <w:spacing w:after="80" w:before="12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905000"/>
                    </a:xfrm>
                    <a:prstGeom prst="rect">
                      <a:avLst/>
                    </a:prstGeom>
                  </pic:spPr>
                </pic:pic>
              </a:graphicData>
            </a:graphic>
          </wp:inline>
        </w:drawing>
      </w:r>
    </w:p>
    <w:p>
      <w:pPr>
        <w:spacing w:after="260" w:before="100"/>
        <w:jc w:val="center"/>
      </w:pPr>
      <w:r>
        <w:rPr>
          <w:i/>
          <w:iCs/>
          <w:color w:val="6B7280"/>
          <w:sz w:val="20"/>
          <w:szCs w:val="20"/>
        </w:rPr>
        <w:t xml:space="preserve">Fig 3.1 — Temperature sensor data across 10 readings, ranging from ~22.5°C to ~39°C</w:t>
      </w:r>
    </w:p>
    <w:p>
      <w:pPr>
        <w:pBdr>
          <w:left w:val="single" w:color="7C4DFF" w:sz="24" w:space="8"/>
        </w:pBdr>
        <w:spacing w:after="120" w:before="260"/>
      </w:pPr>
      <w:r>
        <w:rPr>
          <w:b/>
          <w:bCs/>
          <w:color w:val="7C4DFF"/>
          <w:sz w:val="25"/>
          <w:szCs w:val="25"/>
        </w:rPr>
        <w:t xml:space="preserve">Humidity Trend</w:t>
      </w:r>
    </w:p>
    <w:p>
      <w:pPr>
        <w:spacing w:after="80" w:before="120"/>
        <w:jc w:val="center"/>
      </w:pPr>
      <w:r>
        <w:drawing>
          <wp:inline distT="0" distB="0" distL="0" distR="0">
            <wp:extent cx="4572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33600"/>
                    </a:xfrm>
                    <a:prstGeom prst="rect">
                      <a:avLst/>
                    </a:prstGeom>
                  </pic:spPr>
                </pic:pic>
              </a:graphicData>
            </a:graphic>
          </wp:inline>
        </w:drawing>
      </w:r>
    </w:p>
    <w:p>
      <w:pPr>
        <w:spacing w:after="260" w:before="100"/>
        <w:jc w:val="center"/>
      </w:pPr>
      <w:r>
        <w:rPr>
          <w:i/>
          <w:iCs/>
          <w:color w:val="6B7280"/>
          <w:sz w:val="20"/>
          <w:szCs w:val="20"/>
        </w:rPr>
        <w:t xml:space="preserve">Fig 3.2 — Humidity sensor data across 10 readings, ranging from ~36% to ~70%</w:t>
      </w:r>
    </w:p>
    <w:p>
      <w:pPr>
        <w:pBdr>
          <w:left w:val="single" w:color="27AE60" w:sz="24" w:space="8"/>
        </w:pBdr>
        <w:spacing w:after="120" w:before="260"/>
      </w:pPr>
      <w:r>
        <w:rPr>
          <w:b/>
          <w:bCs/>
          <w:color w:val="27AE60"/>
          <w:sz w:val="25"/>
          <w:szCs w:val="25"/>
        </w:rPr>
        <w:t xml:space="preserve">Observations</w:t>
      </w:r>
    </w:p>
    <w:p>
      <w:pPr>
        <w:spacing w:after="90"/>
        <w:ind w:left="360"/>
      </w:pPr>
      <w:r>
        <w:rPr>
          <w:b/>
          <w:bCs/>
          <w:color w:val="27AE60"/>
          <w:sz w:val="22"/>
          <w:szCs w:val="22"/>
        </w:rPr>
        <w:t xml:space="preserve">●  </w:t>
      </w:r>
      <w:r>
        <w:rPr>
          <w:color w:val="2B2B2B"/>
          <w:sz w:val="22"/>
          <w:szCs w:val="22"/>
        </w:rPr>
        <w:t xml:space="preserve">Temperature spikes were observed at Reading 2, Reading 7, and Reading 9 — all above 36°C.</w:t>
      </w:r>
    </w:p>
    <w:p>
      <w:pPr>
        <w:spacing w:after="90"/>
        <w:ind w:left="360"/>
      </w:pPr>
      <w:r>
        <w:rPr>
          <w:b/>
          <w:bCs/>
          <w:color w:val="27AE60"/>
          <w:sz w:val="22"/>
          <w:szCs w:val="22"/>
        </w:rPr>
        <w:t xml:space="preserve">●  </w:t>
      </w:r>
      <w:r>
        <w:rPr>
          <w:color w:val="2B2B2B"/>
          <w:sz w:val="22"/>
          <w:szCs w:val="22"/>
        </w:rPr>
        <w:t xml:space="preserve">Humidity dropped sharply at Reading 6 (36.15%), the lowest point in the dataset.</w:t>
      </w:r>
    </w:p>
    <w:p>
      <w:pPr>
        <w:spacing w:after="90"/>
        <w:ind w:left="360"/>
      </w:pPr>
      <w:r>
        <w:rPr>
          <w:b/>
          <w:bCs/>
          <w:color w:val="27AE60"/>
          <w:sz w:val="22"/>
          <w:szCs w:val="22"/>
        </w:rPr>
        <w:t xml:space="preserve">●  </w:t>
      </w:r>
      <w:r>
        <w:rPr>
          <w:color w:val="2B2B2B"/>
          <w:sz w:val="22"/>
          <w:szCs w:val="22"/>
        </w:rPr>
        <w:t xml:space="preserve">Both charts confirm that sensor values fluctuate naturally, validating the need for automated alert logic.</w:t>
      </w:r>
    </w:p>
    <w:p>
      <w:r>
        <w:br w:type="page"/>
      </w:r>
    </w:p>
    <w:tbl>
      <w:tblPr>
        <w:tblW w:type="dxa" w:w="9350"/>
        <w:tblBorders>
          <w:top w:val="none"/>
          <w:left w:val="none"/>
          <w:bottom w:val="none"/>
          <w:right w:val="none"/>
          <w:insideH w:val="none"/>
          <w:insideV w:val="none"/>
        </w:tblBorders>
      </w:tblPr>
      <w:tblGrid>
        <w:gridCol w:w="9350"/>
      </w:tblGrid>
      <w:tr>
        <w:tc>
          <w:tcPr>
            <w:tcW w:type="dxa" w:w="9350"/>
            <w:shd w:fill="7C4DFF" w:val="clear"/>
            <w:tcMar>
              <w:top w:type="dxa" w:w="160"/>
              <w:left w:type="dxa" w:w="260"/>
              <w:bottom w:type="dxa" w:w="160"/>
              <w:right w:type="dxa" w:w="260"/>
            </w:tcMar>
          </w:tcPr>
          <w:p>
            <w:r>
              <w:rPr>
                <w:b/>
                <w:bCs/>
                <w:color w:val="FFFFFF"/>
                <w:sz w:val="30"/>
                <w:szCs w:val="30"/>
              </w:rPr>
              <w:t xml:space="preserve">Task 4  |  IoT Automation Logic ⚙️</w:t>
            </w:r>
          </w:p>
        </w:tc>
      </w:tr>
    </w:tbl>
    <w:p>
      <w:pPr>
        <w:spacing w:after="160" w:line="300"/>
      </w:pPr>
      <w:r>
        <w:rPr>
          <w:color w:val="2B2B2B"/>
          <w:sz w:val="22"/>
          <w:szCs w:val="22"/>
        </w:rPr>
        <w:t xml:space="preserve">This final task applied rule-based automation logic to the sensor dataset. Each reading was evaluated against threshold conditions to trigger simulated device actions — mimicking how a real IoT system would respond automatically to environmental changes.</w:t>
      </w:r>
    </w:p>
    <w:p>
      <w:pPr>
        <w:pBdr>
          <w:left w:val="single" w:color="F2994A" w:sz="24" w:space="8"/>
        </w:pBdr>
        <w:spacing w:after="120" w:before="260"/>
      </w:pPr>
      <w:r>
        <w:rPr>
          <w:b/>
          <w:bCs/>
          <w:color w:val="F2994A"/>
          <w:sz w:val="25"/>
          <w:szCs w:val="25"/>
        </w:rPr>
        <w:t xml:space="preserve">Automation Rules Applied</w:t>
      </w:r>
    </w:p>
    <w:p>
      <w:pPr>
        <w:spacing w:after="90"/>
        <w:ind w:left="360"/>
      </w:pPr>
      <w:r>
        <w:rPr>
          <w:b/>
          <w:bCs/>
          <w:color w:val="F2994A"/>
          <w:sz w:val="22"/>
          <w:szCs w:val="22"/>
        </w:rPr>
        <w:t xml:space="preserve">●  </w:t>
      </w:r>
      <w:r>
        <w:rPr>
          <w:color w:val="2B2B2B"/>
          <w:sz w:val="22"/>
          <w:szCs w:val="22"/>
        </w:rPr>
        <w:t xml:space="preserve">If Temperature &gt; 35°C  →  ALERT: Turn Fan ON.</w:t>
      </w:r>
    </w:p>
    <w:p>
      <w:pPr>
        <w:spacing w:after="90"/>
        <w:ind w:left="360"/>
      </w:pPr>
      <w:r>
        <w:rPr>
          <w:b/>
          <w:bCs/>
          <w:color w:val="F2994A"/>
          <w:sz w:val="22"/>
          <w:szCs w:val="22"/>
        </w:rPr>
        <w:t xml:space="preserve">●  </w:t>
      </w:r>
      <w:r>
        <w:rPr>
          <w:color w:val="2B2B2B"/>
          <w:sz w:val="22"/>
          <w:szCs w:val="22"/>
        </w:rPr>
        <w:t xml:space="preserve">If Motion == 1  →  Turn Light ON.</w:t>
      </w:r>
    </w:p>
    <w:p>
      <w:pPr>
        <w:spacing w:after="90"/>
        <w:ind w:left="360"/>
      </w:pPr>
      <w:r>
        <w:rPr>
          <w:b/>
          <w:bCs/>
          <w:color w:val="F2994A"/>
          <w:sz w:val="22"/>
          <w:szCs w:val="22"/>
        </w:rPr>
        <w:t xml:space="preserve">●  </w:t>
      </w:r>
      <w:r>
        <w:rPr>
          <w:color w:val="2B2B2B"/>
          <w:sz w:val="22"/>
          <w:szCs w:val="22"/>
        </w:rPr>
        <w:t xml:space="preserve">Otherwise  →  Status remains Normal.</w:t>
      </w:r>
    </w:p>
    <w:p>
      <w:pPr>
        <w:pBdr>
          <w:left w:val="single" w:color="0FA3A3" w:sz="24" w:space="8"/>
        </w:pBdr>
        <w:spacing w:after="120" w:before="260"/>
      </w:pPr>
      <w:r>
        <w:rPr>
          <w:b/>
          <w:bCs/>
          <w:color w:val="0FA3A3"/>
          <w:sz w:val="25"/>
          <w:szCs w:val="25"/>
        </w:rPr>
        <w:t xml:space="preserve">Execution Output</w:t>
      </w:r>
    </w:p>
    <w:p>
      <w:pPr>
        <w:spacing w:after="80" w:before="12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90825"/>
                    </a:xfrm>
                    <a:prstGeom prst="rect">
                      <a:avLst/>
                    </a:prstGeom>
                  </pic:spPr>
                </pic:pic>
              </a:graphicData>
            </a:graphic>
          </wp:inline>
        </w:drawing>
      </w:r>
    </w:p>
    <w:p>
      <w:pPr>
        <w:spacing w:after="260" w:before="100"/>
        <w:jc w:val="center"/>
      </w:pPr>
      <w:r>
        <w:rPr>
          <w:i/>
          <w:iCs/>
          <w:color w:val="6B7280"/>
          <w:sz w:val="20"/>
          <w:szCs w:val="20"/>
        </w:rPr>
        <w:t xml:space="preserve">Fig 4.1 — Automation rules evaluated against all 10 readings with corresponding actions</w:t>
      </w:r>
    </w:p>
    <w:p>
      <w:pPr>
        <w:pBdr>
          <w:left w:val="single" w:color="27AE60" w:sz="24" w:space="8"/>
        </w:pBdr>
        <w:spacing w:after="120" w:before="260"/>
      </w:pPr>
      <w:r>
        <w:rPr>
          <w:b/>
          <w:bCs/>
          <w:color w:val="27AE60"/>
          <w:sz w:val="25"/>
          <w:szCs w:val="25"/>
        </w:rPr>
        <w:t xml:space="preserve">Result Summary</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6950"/>
      </w:tblGrid>
      <w:tr>
        <w:tc>
          <w:tcPr>
            <w:tcW w:type="dxa" w:w="2400"/>
            <w:shd w:fill="F5F7FA" w:val="clear"/>
            <w:tcMar>
              <w:top w:type="dxa" w:w="120"/>
              <w:left w:type="dxa" w:w="180"/>
              <w:bottom w:type="dxa" w:w="120"/>
              <w:right w:type="dxa" w:w="120"/>
            </w:tcMar>
            <w:vAlign w:val="center"/>
          </w:tcPr>
          <w:p>
            <w:r>
              <w:rPr>
                <w:b/>
                <w:bCs/>
                <w:color w:val="7C4DFF"/>
                <w:sz w:val="21"/>
                <w:szCs w:val="21"/>
              </w:rPr>
              <w:t xml:space="preserve">Fan ON Alerts</w:t>
            </w:r>
          </w:p>
        </w:tc>
        <w:tc>
          <w:tcPr>
            <w:tcW w:type="dxa" w:w="6950"/>
            <w:shd w:fill="F5F7FA" w:val="clear"/>
            <w:tcMar>
              <w:top w:type="dxa" w:w="120"/>
              <w:left w:type="dxa" w:w="180"/>
              <w:bottom w:type="dxa" w:w="120"/>
              <w:right w:type="dxa" w:w="120"/>
            </w:tcMar>
            <w:vAlign w:val="center"/>
          </w:tcPr>
          <w:p>
            <w:r>
              <w:rPr>
                <w:color w:val="2B2B2B"/>
                <w:sz w:val="21"/>
                <w:szCs w:val="21"/>
              </w:rPr>
              <w:t xml:space="preserve">Readings 2, 7, 9 (Temp &gt; 35°C)</w:t>
            </w:r>
          </w:p>
        </w:tc>
      </w:tr>
      <w:tr>
        <w:tc>
          <w:tcPr>
            <w:tcW w:type="dxa" w:w="2400"/>
            <w:shd w:fill="FFFFFF" w:val="clear"/>
            <w:tcMar>
              <w:top w:type="dxa" w:w="120"/>
              <w:left w:type="dxa" w:w="180"/>
              <w:bottom w:type="dxa" w:w="120"/>
              <w:right w:type="dxa" w:w="120"/>
            </w:tcMar>
            <w:vAlign w:val="center"/>
          </w:tcPr>
          <w:p>
            <w:r>
              <w:rPr>
                <w:b/>
                <w:bCs/>
                <w:color w:val="7C4DFF"/>
                <w:sz w:val="21"/>
                <w:szCs w:val="21"/>
              </w:rPr>
              <w:t xml:space="preserve">Light ON Triggers</w:t>
            </w:r>
          </w:p>
        </w:tc>
        <w:tc>
          <w:tcPr>
            <w:tcW w:type="dxa" w:w="6950"/>
            <w:shd w:fill="FFFFFF" w:val="clear"/>
            <w:tcMar>
              <w:top w:type="dxa" w:w="120"/>
              <w:left w:type="dxa" w:w="180"/>
              <w:bottom w:type="dxa" w:w="120"/>
              <w:right w:type="dxa" w:w="120"/>
            </w:tcMar>
            <w:vAlign w:val="center"/>
          </w:tcPr>
          <w:p>
            <w:r>
              <w:rPr>
                <w:color w:val="2B2B2B"/>
                <w:sz w:val="21"/>
                <w:szCs w:val="21"/>
              </w:rPr>
              <w:t xml:space="preserve">Readings 6, 9, 10 (Motion = 1)</w:t>
            </w:r>
          </w:p>
        </w:tc>
      </w:tr>
      <w:tr>
        <w:tc>
          <w:tcPr>
            <w:tcW w:type="dxa" w:w="2400"/>
            <w:shd w:fill="F5F7FA" w:val="clear"/>
            <w:tcMar>
              <w:top w:type="dxa" w:w="120"/>
              <w:left w:type="dxa" w:w="180"/>
              <w:bottom w:type="dxa" w:w="120"/>
              <w:right w:type="dxa" w:w="120"/>
            </w:tcMar>
            <w:vAlign w:val="center"/>
          </w:tcPr>
          <w:p>
            <w:r>
              <w:rPr>
                <w:b/>
                <w:bCs/>
                <w:color w:val="7C4DFF"/>
                <w:sz w:val="21"/>
                <w:szCs w:val="21"/>
              </w:rPr>
              <w:t xml:space="preserve">Normal Status</w:t>
            </w:r>
          </w:p>
        </w:tc>
        <w:tc>
          <w:tcPr>
            <w:tcW w:type="dxa" w:w="6950"/>
            <w:shd w:fill="F5F7FA" w:val="clear"/>
            <w:tcMar>
              <w:top w:type="dxa" w:w="120"/>
              <w:left w:type="dxa" w:w="180"/>
              <w:bottom w:type="dxa" w:w="120"/>
              <w:right w:type="dxa" w:w="120"/>
            </w:tcMar>
            <w:vAlign w:val="center"/>
          </w:tcPr>
          <w:p>
            <w:r>
              <w:rPr>
                <w:color w:val="2B2B2B"/>
                <w:sz w:val="21"/>
                <w:szCs w:val="21"/>
              </w:rPr>
              <w:t xml:space="preserve">Readings 1, 3, 4, 5, 8</w:t>
            </w:r>
          </w:p>
        </w:tc>
      </w:tr>
      <w:tr>
        <w:tc>
          <w:tcPr>
            <w:tcW w:type="dxa" w:w="2400"/>
            <w:shd w:fill="FFFFFF" w:val="clear"/>
            <w:tcMar>
              <w:top w:type="dxa" w:w="120"/>
              <w:left w:type="dxa" w:w="180"/>
              <w:bottom w:type="dxa" w:w="120"/>
              <w:right w:type="dxa" w:w="120"/>
            </w:tcMar>
            <w:vAlign w:val="center"/>
          </w:tcPr>
          <w:p>
            <w:r>
              <w:rPr>
                <w:b/>
                <w:bCs/>
                <w:color w:val="7C4DFF"/>
                <w:sz w:val="21"/>
                <w:szCs w:val="21"/>
              </w:rPr>
              <w:t xml:space="preserve">Outcome</w:t>
            </w:r>
          </w:p>
        </w:tc>
        <w:tc>
          <w:tcPr>
            <w:tcW w:type="dxa" w:w="6950"/>
            <w:shd w:fill="FFFFFF" w:val="clear"/>
            <w:tcMar>
              <w:top w:type="dxa" w:w="120"/>
              <w:left w:type="dxa" w:w="180"/>
              <w:bottom w:type="dxa" w:w="120"/>
              <w:right w:type="dxa" w:w="120"/>
            </w:tcMar>
            <w:vAlign w:val="center"/>
          </w:tcPr>
          <w:p>
            <w:r>
              <w:rPr>
                <w:color w:val="2B2B2B"/>
                <w:sz w:val="21"/>
                <w:szCs w:val="21"/>
              </w:rPr>
              <w:t xml:space="preserve">Automation completed successfully for all 10 readings</w:t>
            </w:r>
          </w:p>
        </w:tc>
      </w:tr>
    </w:tbl>
    <w:p>
      <w:pPr>
        <w:spacing w:before="300"/>
      </w:pPr>
    </w:p>
    <w:p>
      <w:pPr>
        <w:pBdr>
          <w:left w:val="single" w:color="1B2A4A" w:sz="24" w:space="8"/>
        </w:pBdr>
        <w:spacing w:after="120" w:before="260"/>
      </w:pPr>
      <w:r>
        <w:rPr>
          <w:b/>
          <w:bCs/>
          <w:color w:val="1B2A4A"/>
          <w:sz w:val="25"/>
          <w:szCs w:val="25"/>
        </w:rPr>
        <w:t xml:space="preserve">Conclusion</w:t>
      </w:r>
    </w:p>
    <w:p>
      <w:pPr>
        <w:spacing w:after="160" w:line="300"/>
      </w:pPr>
      <w:r>
        <w:rPr>
          <w:color w:val="2B2B2B"/>
          <w:sz w:val="22"/>
          <w:szCs w:val="22"/>
        </w:rPr>
        <w:t xml:space="preserve">Across these four tasks, the internship journey progressed from understanding core IoT concepts, to simulating realistic sensor data, visualizing that data on a monitoring dashboard, and finally applying automation logic that reacts to conditions in real time — mirroring the complete workflow of a functional IoT system.</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108977221a377f506ee15aadbfd10567181973.png"/><Relationship Id="rId8" Type="http://schemas.openxmlformats.org/officeDocument/2006/relationships/image" Target="media/af0aae4d6e1209065c55252555de3416c2bc459b.png"/><Relationship Id="rId9" Type="http://schemas.openxmlformats.org/officeDocument/2006/relationships/image" Target="media/58fbd300883a52b3e49ca32dcc5f38403c23cb73.png"/><Relationship Id="rId10" Type="http://schemas.openxmlformats.org/officeDocument/2006/relationships/image" Target="media/29a06cbb0748f747205989edb9654a52502142f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2026-07-10T06:03:51.454Z</dcterms:created>
  <dcterms:modified xsi:type="dcterms:W3CDTF">2026-07-10T06:03:51.467Z</dcterms:modified>
</cp:coreProperties>
</file>

<file path=docProps/custom.xml><?xml version="1.0" encoding="utf-8"?>
<Properties xmlns="http://schemas.openxmlformats.org/officeDocument/2006/custom-properties" xmlns:vt="http://schemas.openxmlformats.org/officeDocument/2006/docPropsVTypes"/>
</file>