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600" w:lineRule="auto"/>
        <w:jc w:val="center"/>
        <w:rPr/>
      </w:pPr>
      <w:r w:rsidDel="00000000" w:rsidR="00000000" w:rsidRPr="00000000">
        <w:rPr>
          <w:rFonts w:ascii="Calibri" w:cs="Calibri" w:eastAsia="Calibri" w:hAnsi="Calibri"/>
          <w:b w:val="1"/>
          <w:bCs w:val="1"/>
          <w:color w:val="000000"/>
          <w:sz w:val="64"/>
          <w:szCs w:val="64"/>
          <w:rtl w:val="0"/>
        </w:rPr>
        <w:t xml:space="preserve">ADIDAS</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Calibri" w:cs="Calibri" w:eastAsia="Calibri" w:hAnsi="Calibri"/>
          <w:b w:val="1"/>
          <w:bCs w:val="1"/>
          <w:color w:val="0075c9"/>
          <w:sz w:val="34"/>
          <w:szCs w:val="34"/>
          <w:rtl w:val="0"/>
        </w:rPr>
        <w:t xml:space="preserve">U.S. RETAIL SALES PERFORMANCE ANALYSIS</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color w:val="666666"/>
          <w:sz w:val="22"/>
          <w:szCs w:val="22"/>
          <w:rtl w:val="0"/>
        </w:rPr>
        <w:t xml:space="preserve">Retailer, Regional &amp; Channel Performance | FY2020–FY2021</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rFonts w:ascii="Calibri" w:cs="Calibri" w:eastAsia="Calibri" w:hAnsi="Calibri"/>
          <w:i w:val="1"/>
          <w:iCs w:val="1"/>
          <w:color w:val="000000"/>
          <w:sz w:val="20"/>
          <w:szCs w:val="20"/>
          <w:rtl w:val="0"/>
        </w:rPr>
        <w:t xml:space="preserve">Prepared for Adidas Management</w:t>
      </w:r>
      <w:r w:rsidDel="00000000" w:rsidR="00000000" w:rsidRPr="00000000">
        <w:rPr>
          <w:rtl w:val="0"/>
        </w:rPr>
      </w:r>
    </w:p>
    <w:p w:rsidR="00000000" w:rsidDel="00000000" w:rsidP="00000000" w:rsidRDefault="00000000" w:rsidRPr="00000000" w14:paraId="00000005">
      <w:pPr>
        <w:spacing w:before="40" w:lineRule="auto"/>
        <w:jc w:val="center"/>
        <w:rPr/>
      </w:pPr>
      <w:r w:rsidDel="00000000" w:rsidR="00000000" w:rsidRPr="00000000">
        <w:rPr>
          <w:rFonts w:ascii="Calibri" w:cs="Calibri" w:eastAsia="Calibri" w:hAnsi="Calibri"/>
          <w:color w:val="666666"/>
          <w:sz w:val="18"/>
          <w:szCs w:val="18"/>
          <w:rtl w:val="0"/>
        </w:rPr>
        <w:t xml:space="preserve">Strategic Insights &amp; Recommendations Report</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Executive Summary</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Fonts w:ascii="Calibri" w:cs="Calibri" w:eastAsia="Calibri" w:hAnsi="Calibri"/>
          <w:sz w:val="21"/>
          <w:szCs w:val="21"/>
          <w:rtl w:val="0"/>
        </w:rPr>
        <w:t xml:space="preserve">Analysis of 9,648 transaction records spanning January 2020 through December 2021 across six major U.S. retail partners (Foot Locker, West Gear, Sports Direct, Kohl's, Amazon, and Walmart), five regions, and three sales channels reveals a business with strong overall momentum but pronounced concentration risk across retailers, regions, and channels.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000000" w:val="clear"/>
            <w:tcMar>
              <w:top w:w="160.0" w:type="dxa"/>
              <w:left w:w="120.0" w:type="dxa"/>
              <w:bottom w:w="160.0" w:type="dxa"/>
              <w:right w:w="120.0" w:type="dxa"/>
            </w:tcMar>
          </w:tcPr>
          <w:p w:rsidR="00000000" w:rsidDel="00000000" w:rsidP="00000000" w:rsidRDefault="00000000" w:rsidRPr="00000000" w14:paraId="00000009">
            <w:pPr>
              <w:spacing w:after="40" w:lineRule="auto"/>
              <w:jc w:val="center"/>
              <w:rPr/>
            </w:pPr>
            <w:r w:rsidDel="00000000" w:rsidR="00000000" w:rsidRPr="00000000">
              <w:rPr>
                <w:rFonts w:ascii="Calibri" w:cs="Calibri" w:eastAsia="Calibri" w:hAnsi="Calibri"/>
                <w:b w:val="1"/>
                <w:bCs w:val="1"/>
                <w:color w:val="ffffff"/>
                <w:sz w:val="30"/>
                <w:szCs w:val="30"/>
                <w:rtl w:val="0"/>
              </w:rPr>
              <w:t xml:space="preserve">$899.9M</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rFonts w:ascii="Calibri" w:cs="Calibri" w:eastAsia="Calibri" w:hAnsi="Calibri"/>
                <w:b w:val="1"/>
                <w:bCs w:val="1"/>
                <w:color w:val="0075c9"/>
                <w:sz w:val="18"/>
                <w:szCs w:val="18"/>
                <w:rtl w:val="0"/>
              </w:rPr>
              <w:t xml:space="preserve">TOTAL SALES</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color w:val="cccccc"/>
                <w:sz w:val="16"/>
                <w:szCs w:val="16"/>
                <w:rtl w:val="0"/>
              </w:rPr>
              <w:t xml:space="preserve">FY20–FY21 combined</w:t>
            </w:r>
            <w:r w:rsidDel="00000000" w:rsidR="00000000" w:rsidRPr="00000000">
              <w:rPr>
                <w:rtl w:val="0"/>
              </w:rPr>
            </w:r>
          </w:p>
        </w:tc>
        <w:tc>
          <w:tcPr>
            <w:shd w:fill="000000" w:val="clear"/>
            <w:tcMar>
              <w:top w:w="160.0" w:type="dxa"/>
              <w:left w:w="120.0" w:type="dxa"/>
              <w:bottom w:w="160.0" w:type="dxa"/>
              <w:right w:w="120.0" w:type="dxa"/>
            </w:tcMar>
          </w:tcPr>
          <w:p w:rsidR="00000000" w:rsidDel="00000000" w:rsidP="00000000" w:rsidRDefault="00000000" w:rsidRPr="00000000" w14:paraId="0000000C">
            <w:pPr>
              <w:spacing w:after="40" w:lineRule="auto"/>
              <w:jc w:val="center"/>
              <w:rPr/>
            </w:pPr>
            <w:r w:rsidDel="00000000" w:rsidR="00000000" w:rsidRPr="00000000">
              <w:rPr>
                <w:rFonts w:ascii="Calibri" w:cs="Calibri" w:eastAsia="Calibri" w:hAnsi="Calibri"/>
                <w:b w:val="1"/>
                <w:bCs w:val="1"/>
                <w:color w:val="ffffff"/>
                <w:sz w:val="30"/>
                <w:szCs w:val="30"/>
                <w:rtl w:val="0"/>
              </w:rPr>
              <w:t xml:space="preserve">$332.1M</w:t>
            </w:r>
            <w:r w:rsidDel="00000000" w:rsidR="00000000" w:rsidRPr="00000000">
              <w:rPr>
                <w:rtl w:val="0"/>
              </w:rPr>
            </w:r>
          </w:p>
          <w:p w:rsidR="00000000" w:rsidDel="00000000" w:rsidP="00000000" w:rsidRDefault="00000000" w:rsidRPr="00000000" w14:paraId="0000000D">
            <w:pPr>
              <w:spacing w:after="20" w:lineRule="auto"/>
              <w:jc w:val="center"/>
              <w:rPr/>
            </w:pPr>
            <w:r w:rsidDel="00000000" w:rsidR="00000000" w:rsidRPr="00000000">
              <w:rPr>
                <w:rFonts w:ascii="Calibri" w:cs="Calibri" w:eastAsia="Calibri" w:hAnsi="Calibri"/>
                <w:b w:val="1"/>
                <w:bCs w:val="1"/>
                <w:color w:val="0075c9"/>
                <w:sz w:val="18"/>
                <w:szCs w:val="18"/>
                <w:rtl w:val="0"/>
              </w:rPr>
              <w:t xml:space="preserve">OPERATING PROFIT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color w:val="cccccc"/>
                <w:sz w:val="16"/>
                <w:szCs w:val="16"/>
                <w:rtl w:val="0"/>
              </w:rPr>
              <w:t xml:space="preserve">36.9% of sales</w:t>
            </w:r>
            <w:r w:rsidDel="00000000" w:rsidR="00000000" w:rsidRPr="00000000">
              <w:rPr>
                <w:rtl w:val="0"/>
              </w:rPr>
            </w:r>
          </w:p>
        </w:tc>
        <w:tc>
          <w:tcPr>
            <w:shd w:fill="000000" w:val="clear"/>
            <w:tcMar>
              <w:top w:w="160.0" w:type="dxa"/>
              <w:left w:w="120.0" w:type="dxa"/>
              <w:bottom w:w="160.0" w:type="dxa"/>
              <w:right w:w="120.0" w:type="dxa"/>
            </w:tcMar>
          </w:tcPr>
          <w:p w:rsidR="00000000" w:rsidDel="00000000" w:rsidP="00000000" w:rsidRDefault="00000000" w:rsidRPr="00000000" w14:paraId="0000000F">
            <w:pPr>
              <w:spacing w:after="40" w:lineRule="auto"/>
              <w:jc w:val="center"/>
              <w:rPr/>
            </w:pPr>
            <w:r w:rsidDel="00000000" w:rsidR="00000000" w:rsidRPr="00000000">
              <w:rPr>
                <w:rFonts w:ascii="Calibri" w:cs="Calibri" w:eastAsia="Calibri" w:hAnsi="Calibri"/>
                <w:b w:val="1"/>
                <w:bCs w:val="1"/>
                <w:color w:val="ffffff"/>
                <w:sz w:val="30"/>
                <w:szCs w:val="30"/>
                <w:rtl w:val="0"/>
              </w:rPr>
              <w:t xml:space="preserve">42.3%</w:t>
            </w:r>
            <w:r w:rsidDel="00000000" w:rsidR="00000000" w:rsidRPr="00000000">
              <w:rPr>
                <w:rtl w:val="0"/>
              </w:rPr>
            </w:r>
          </w:p>
          <w:p w:rsidR="00000000" w:rsidDel="00000000" w:rsidP="00000000" w:rsidRDefault="00000000" w:rsidRPr="00000000" w14:paraId="00000010">
            <w:pPr>
              <w:spacing w:after="20" w:lineRule="auto"/>
              <w:jc w:val="center"/>
              <w:rPr/>
            </w:pPr>
            <w:r w:rsidDel="00000000" w:rsidR="00000000" w:rsidRPr="00000000">
              <w:rPr>
                <w:rFonts w:ascii="Calibri" w:cs="Calibri" w:eastAsia="Calibri" w:hAnsi="Calibri"/>
                <w:b w:val="1"/>
                <w:bCs w:val="1"/>
                <w:color w:val="0075c9"/>
                <w:sz w:val="18"/>
                <w:szCs w:val="18"/>
                <w:rtl w:val="0"/>
              </w:rPr>
              <w:t xml:space="preserve">AVG. MARGIN</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Calibri" w:cs="Calibri" w:eastAsia="Calibri" w:hAnsi="Calibri"/>
                <w:color w:val="cccccc"/>
                <w:sz w:val="16"/>
                <w:szCs w:val="16"/>
                <w:rtl w:val="0"/>
              </w:rPr>
              <w:t xml:space="preserve">Operating margin</w:t>
            </w:r>
            <w:r w:rsidDel="00000000" w:rsidR="00000000" w:rsidRPr="00000000">
              <w:rPr>
                <w:rtl w:val="0"/>
              </w:rPr>
            </w:r>
          </w:p>
        </w:tc>
        <w:tc>
          <w:tcPr>
            <w:shd w:fill="000000" w:val="clear"/>
            <w:tcMar>
              <w:top w:w="160.0" w:type="dxa"/>
              <w:left w:w="120.0" w:type="dxa"/>
              <w:bottom w:w="160.0" w:type="dxa"/>
              <w:right w:w="120.0" w:type="dxa"/>
            </w:tcMar>
          </w:tcPr>
          <w:p w:rsidR="00000000" w:rsidDel="00000000" w:rsidP="00000000" w:rsidRDefault="00000000" w:rsidRPr="00000000" w14:paraId="00000012">
            <w:pPr>
              <w:spacing w:after="40" w:lineRule="auto"/>
              <w:jc w:val="center"/>
              <w:rPr/>
            </w:pPr>
            <w:r w:rsidDel="00000000" w:rsidR="00000000" w:rsidRPr="00000000">
              <w:rPr>
                <w:rFonts w:ascii="Calibri" w:cs="Calibri" w:eastAsia="Calibri" w:hAnsi="Calibri"/>
                <w:b w:val="1"/>
                <w:bCs w:val="1"/>
                <w:color w:val="ffffff"/>
                <w:sz w:val="30"/>
                <w:szCs w:val="30"/>
                <w:rtl w:val="0"/>
              </w:rPr>
              <w:t xml:space="preserve">2.48M</w:t>
            </w:r>
            <w:r w:rsidDel="00000000" w:rsidR="00000000" w:rsidRPr="00000000">
              <w:rPr>
                <w:rtl w:val="0"/>
              </w:rPr>
            </w:r>
          </w:p>
          <w:p w:rsidR="00000000" w:rsidDel="00000000" w:rsidP="00000000" w:rsidRDefault="00000000" w:rsidRPr="00000000" w14:paraId="00000013">
            <w:pPr>
              <w:spacing w:after="20" w:lineRule="auto"/>
              <w:jc w:val="center"/>
              <w:rPr/>
            </w:pPr>
            <w:r w:rsidDel="00000000" w:rsidR="00000000" w:rsidRPr="00000000">
              <w:rPr>
                <w:rFonts w:ascii="Calibri" w:cs="Calibri" w:eastAsia="Calibri" w:hAnsi="Calibri"/>
                <w:b w:val="1"/>
                <w:bCs w:val="1"/>
                <w:color w:val="0075c9"/>
                <w:sz w:val="18"/>
                <w:szCs w:val="18"/>
                <w:rtl w:val="0"/>
              </w:rPr>
              <w:t xml:space="preserve">UNITS SOLD</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Calibri" w:cs="Calibri" w:eastAsia="Calibri" w:hAnsi="Calibri"/>
                <w:color w:val="cccccc"/>
                <w:sz w:val="16"/>
                <w:szCs w:val="16"/>
                <w:rtl w:val="0"/>
              </w:rPr>
              <w:t xml:space="preserve">45,224 transactions/mo avg</w:t>
            </w:r>
            <w:r w:rsidDel="00000000" w:rsidR="00000000" w:rsidRPr="00000000">
              <w:rPr>
                <w:rtl w:val="0"/>
              </w:rPr>
            </w:r>
          </w:p>
        </w:tc>
      </w:tr>
    </w:tbl>
    <w:p w:rsidR="00000000" w:rsidDel="00000000" w:rsidP="00000000" w:rsidRDefault="00000000" w:rsidRPr="00000000" w14:paraId="00000015">
      <w:pPr>
        <w:spacing w:after="120" w:before="260" w:lineRule="auto"/>
        <w:rPr/>
      </w:pP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sz w:val="21"/>
          <w:szCs w:val="21"/>
          <w:rtl w:val="0"/>
        </w:rPr>
        <w:t xml:space="preserve">Sales nearly quadrupled from 2020 ($182.1M) to 2021 ($717.8M) — a 294% increase — reflecting either strong post-pandemic recovery, retail footprint expansion, or a partial-year 2020 baseline. This growth was not uniform: it was heavily concentrated in specific retailers, the West region, and the Online channel, creating both an opportunity to replicate what's working and a risk if any single driver weakens.</w:t>
      </w:r>
      <w:r w:rsidDel="00000000" w:rsidR="00000000" w:rsidRPr="00000000">
        <w:rPr>
          <w:rtl w:val="0"/>
        </w:rPr>
      </w:r>
    </w:p>
    <w:p w:rsidR="00000000" w:rsidDel="00000000" w:rsidP="00000000" w:rsidRDefault="00000000" w:rsidRPr="00000000" w14:paraId="00000017">
      <w:pPr>
        <w:spacing w:after="100" w:before="200" w:lineRule="auto"/>
        <w:rPr/>
      </w:pPr>
      <w:r w:rsidDel="00000000" w:rsidR="00000000" w:rsidRPr="00000000">
        <w:rPr>
          <w:rFonts w:ascii="Calibri" w:cs="Calibri" w:eastAsia="Calibri" w:hAnsi="Calibri"/>
          <w:b w:val="1"/>
          <w:bCs w:val="1"/>
          <w:color w:val="000000"/>
          <w:sz w:val="22"/>
          <w:szCs w:val="22"/>
          <w:rtl w:val="0"/>
        </w:rPr>
        <w:t xml:space="preserve">Top-Line Findings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Product: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Men's Street Footwear is the single largest category ($208.8M, 23.2% of sales) and carries the highest margin (44.6%).</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Retailer: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West Gear ($243.0M, 27.0%) and Foot Locker ($220.1M, 24.5%) together generate over half of all revenue; Walmart is the weakest partner at just 8.3%.</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Region: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West region leads with $269.9M (30.0% of sales), while the Midwest lags at $135.8M (15.1%).</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Channel: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In-store still leads on total revenue (39.6%), but Online carries the highest margin (46%) and the highest unit volume — signalling a structural shift worth monitoring.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Trend: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Sales grew in every quarter of 2021 versus 2020, peaking in Q3 2021 ($210.0M) before a modest Q4 pullback ($190.1M).</w:t>
      </w:r>
      <w:r w:rsidDel="00000000" w:rsidR="00000000" w:rsidRPr="00000000">
        <w:rPr>
          <w:rtl w:val="0"/>
        </w:rPr>
      </w:r>
    </w:p>
    <w:p w:rsidR="00000000" w:rsidDel="00000000" w:rsidP="00000000" w:rsidRDefault="00000000" w:rsidRPr="00000000" w14:paraId="0000001D">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1. Overall Sales &amp; Profitability Performance</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sz w:val="21"/>
          <w:szCs w:val="21"/>
          <w:rtl w:val="0"/>
        </w:rPr>
        <w:t xml:space="preserve">Total operating profit reached $332.1M on $899.9M of sales, an overall operating margin of 42.3% — a healthy level for an athletic apparel/footwear business, and consistent across most segments (margins ranged narrowly from 40.3% to 44.6% by product category).</w:t>
      </w:r>
      <w:r w:rsidDel="00000000" w:rsidR="00000000" w:rsidRPr="00000000">
        <w:rPr>
          <w:rtl w:val="0"/>
        </w:rPr>
      </w:r>
    </w:p>
    <w:p w:rsidR="00000000" w:rsidDel="00000000" w:rsidP="00000000" w:rsidRDefault="00000000" w:rsidRPr="00000000" w14:paraId="0000001F">
      <w:pPr>
        <w:spacing w:after="200" w:lineRule="auto"/>
        <w:jc w:val="center"/>
        <w:rPr/>
      </w:pPr>
      <w:r w:rsidDel="00000000" w:rsidR="00000000" w:rsidRPr="00000000">
        <w:rPr/>
        <w:drawing>
          <wp:inline distB="0" distT="0" distL="0" distR="0">
            <wp:extent cx="5760720" cy="256032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72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Calibri" w:cs="Calibri" w:eastAsia="Calibri" w:hAnsi="Calibri"/>
          <w:sz w:val="21"/>
          <w:szCs w:val="21"/>
          <w:rtl w:val="0"/>
        </w:rPr>
        <w:t xml:space="preserve">The monthly trend shows clear seasonality layered on top of strong underlying growth: sales dip in mid-year (Jun 2020) and again in early Q1, before building toward Q3 peaks. 2021 shows a much smoother, higher-volume pattern than the choppier 2020 curve, consistent with expanding distribution and/or demand recovery.</w:t>
      </w:r>
      <w:r w:rsidDel="00000000" w:rsidR="00000000" w:rsidRPr="00000000">
        <w:rPr>
          <w:rtl w:val="0"/>
        </w:rPr>
      </w:r>
    </w:p>
    <w:p w:rsidR="00000000" w:rsidDel="00000000" w:rsidP="00000000" w:rsidRDefault="00000000" w:rsidRPr="00000000" w14:paraId="00000021">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2. Product Category Performance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sz w:val="21"/>
          <w:szCs w:val="21"/>
          <w:rtl w:val="0"/>
        </w:rPr>
        <w:t xml:space="preserve">All six product categories are profitable, but performance varies meaningfully by both revenue contribution and margin quality.</w:t>
      </w:r>
      <w:r w:rsidDel="00000000" w:rsidR="00000000" w:rsidRPr="00000000">
        <w:rPr>
          <w:rtl w:val="0"/>
        </w:rPr>
      </w:r>
    </w:p>
    <w:p w:rsidR="00000000" w:rsidDel="00000000" w:rsidP="00000000" w:rsidRDefault="00000000" w:rsidRPr="00000000" w14:paraId="00000023">
      <w:pPr>
        <w:spacing w:after="200" w:lineRule="auto"/>
        <w:jc w:val="center"/>
        <w:rPr/>
      </w:pPr>
      <w:r w:rsidDel="00000000" w:rsidR="00000000" w:rsidRPr="00000000">
        <w:rPr/>
        <w:drawing>
          <wp:inline distB="0" distT="0" distL="0" distR="0">
            <wp:extent cx="5760720" cy="256032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0720" cy="2560320"/>
                    </a:xfrm>
                    <a:prstGeom prst="rect"/>
                    <a:ln/>
                  </pic:spPr>
                </pic:pic>
              </a:graphicData>
            </a:graphic>
          </wp:inline>
        </w:drawing>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500"/>
        <w:gridCol w:w="1700"/>
        <w:tblGridChange w:id="0">
          <w:tblGrid>
            <w:gridCol w:w="2600"/>
            <w:gridCol w:w="1600"/>
            <w:gridCol w:w="1600"/>
            <w:gridCol w:w="1500"/>
            <w:gridCol w:w="1700"/>
          </w:tblGrid>
        </w:tblGridChange>
      </w:tblGrid>
      <w:tr>
        <w:trPr>
          <w:cantSplit w:val="0"/>
          <w:tblHeader w:val="1"/>
        </w:trPr>
        <w:tc>
          <w:tcPr>
            <w:shd w:fill="000000" w:val="clear"/>
            <w:tcMar>
              <w:top w:w="90.0" w:type="dxa"/>
              <w:left w:w="100.0" w:type="dxa"/>
              <w:bottom w:w="9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19"/>
                <w:szCs w:val="19"/>
                <w:rtl w:val="0"/>
              </w:rPr>
              <w:t xml:space="preserve">Category</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b w:val="1"/>
                <w:bCs w:val="1"/>
                <w:color w:val="ffffff"/>
                <w:sz w:val="19"/>
                <w:szCs w:val="19"/>
                <w:rtl w:val="0"/>
              </w:rPr>
              <w:t xml:space="preserve">Sales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ffffff"/>
                <w:sz w:val="19"/>
                <w:szCs w:val="19"/>
                <w:rtl w:val="0"/>
              </w:rPr>
              <w:t xml:space="preserve">Profit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ffffff"/>
                <w:sz w:val="19"/>
                <w:szCs w:val="19"/>
                <w:rtl w:val="0"/>
              </w:rPr>
              <w:t xml:space="preserve">% of Sales</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b w:val="1"/>
                <w:bCs w:val="1"/>
                <w:color w:val="ffffff"/>
                <w:sz w:val="19"/>
                <w:szCs w:val="19"/>
                <w:rtl w:val="0"/>
              </w:rPr>
              <w:t xml:space="preserve">Avg Margin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9">
            <w:pPr>
              <w:jc w:val="left"/>
              <w:rPr/>
            </w:pPr>
            <w:r w:rsidDel="00000000" w:rsidR="00000000" w:rsidRPr="00000000">
              <w:rPr>
                <w:rFonts w:ascii="Calibri" w:cs="Calibri" w:eastAsia="Calibri" w:hAnsi="Calibri"/>
                <w:sz w:val="19"/>
                <w:szCs w:val="19"/>
                <w:rtl w:val="0"/>
              </w:rPr>
              <w:t xml:space="preserve">Men's Street Footwear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A">
            <w:pPr>
              <w:jc w:val="right"/>
              <w:rPr/>
            </w:pPr>
            <w:r w:rsidDel="00000000" w:rsidR="00000000" w:rsidRPr="00000000">
              <w:rPr>
                <w:rFonts w:ascii="Calibri" w:cs="Calibri" w:eastAsia="Calibri" w:hAnsi="Calibri"/>
                <w:sz w:val="19"/>
                <w:szCs w:val="19"/>
                <w:rtl w:val="0"/>
              </w:rPr>
              <w:t xml:space="preserve">208.8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B">
            <w:pPr>
              <w:jc w:val="right"/>
              <w:rPr/>
            </w:pPr>
            <w:r w:rsidDel="00000000" w:rsidR="00000000" w:rsidRPr="00000000">
              <w:rPr>
                <w:rFonts w:ascii="Calibri" w:cs="Calibri" w:eastAsia="Calibri" w:hAnsi="Calibri"/>
                <w:sz w:val="19"/>
                <w:szCs w:val="19"/>
                <w:rtl w:val="0"/>
              </w:rPr>
              <w:t xml:space="preserve">82.8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C">
            <w:pPr>
              <w:jc w:val="right"/>
              <w:rPr/>
            </w:pPr>
            <w:r w:rsidDel="00000000" w:rsidR="00000000" w:rsidRPr="00000000">
              <w:rPr>
                <w:rFonts w:ascii="Calibri" w:cs="Calibri" w:eastAsia="Calibri" w:hAnsi="Calibri"/>
                <w:sz w:val="19"/>
                <w:szCs w:val="19"/>
                <w:rtl w:val="0"/>
              </w:rPr>
              <w:t xml:space="preserve">23.2%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D">
            <w:pPr>
              <w:jc w:val="right"/>
              <w:rPr/>
            </w:pPr>
            <w:r w:rsidDel="00000000" w:rsidR="00000000" w:rsidRPr="00000000">
              <w:rPr>
                <w:rFonts w:ascii="Calibri" w:cs="Calibri" w:eastAsia="Calibri" w:hAnsi="Calibri"/>
                <w:sz w:val="19"/>
                <w:szCs w:val="19"/>
                <w:rtl w:val="0"/>
              </w:rPr>
              <w:t xml:space="preserve">44.6%</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sz w:val="19"/>
                <w:szCs w:val="19"/>
                <w:rtl w:val="0"/>
              </w:rPr>
              <w:t xml:space="preserve">Women's Apparel</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2F">
            <w:pPr>
              <w:jc w:val="right"/>
              <w:rPr/>
            </w:pPr>
            <w:r w:rsidDel="00000000" w:rsidR="00000000" w:rsidRPr="00000000">
              <w:rPr>
                <w:rFonts w:ascii="Calibri" w:cs="Calibri" w:eastAsia="Calibri" w:hAnsi="Calibri"/>
                <w:sz w:val="19"/>
                <w:szCs w:val="19"/>
                <w:rtl w:val="0"/>
              </w:rPr>
              <w:t xml:space="preserve">179.0</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0">
            <w:pPr>
              <w:jc w:val="right"/>
              <w:rPr/>
            </w:pPr>
            <w:r w:rsidDel="00000000" w:rsidR="00000000" w:rsidRPr="00000000">
              <w:rPr>
                <w:rFonts w:ascii="Calibri" w:cs="Calibri" w:eastAsia="Calibri" w:hAnsi="Calibri"/>
                <w:sz w:val="19"/>
                <w:szCs w:val="19"/>
                <w:rtl w:val="0"/>
              </w:rPr>
              <w:t xml:space="preserve">68.7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1">
            <w:pPr>
              <w:jc w:val="right"/>
              <w:rPr/>
            </w:pPr>
            <w:r w:rsidDel="00000000" w:rsidR="00000000" w:rsidRPr="00000000">
              <w:rPr>
                <w:rFonts w:ascii="Calibri" w:cs="Calibri" w:eastAsia="Calibri" w:hAnsi="Calibri"/>
                <w:sz w:val="19"/>
                <w:szCs w:val="19"/>
                <w:rtl w:val="0"/>
              </w:rPr>
              <w:t xml:space="preserve">19.9%</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2">
            <w:pPr>
              <w:jc w:val="right"/>
              <w:rPr/>
            </w:pPr>
            <w:r w:rsidDel="00000000" w:rsidR="00000000" w:rsidRPr="00000000">
              <w:rPr>
                <w:rFonts w:ascii="Calibri" w:cs="Calibri" w:eastAsia="Calibri" w:hAnsi="Calibri"/>
                <w:sz w:val="19"/>
                <w:szCs w:val="19"/>
                <w:rtl w:val="0"/>
              </w:rPr>
              <w:t xml:space="preserve">44.1%</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sz w:val="19"/>
                <w:szCs w:val="19"/>
                <w:rtl w:val="0"/>
              </w:rPr>
              <w:t xml:space="preserve">Men's Athletic Footwear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4">
            <w:pPr>
              <w:jc w:val="right"/>
              <w:rPr/>
            </w:pPr>
            <w:r w:rsidDel="00000000" w:rsidR="00000000" w:rsidRPr="00000000">
              <w:rPr>
                <w:rFonts w:ascii="Calibri" w:cs="Calibri" w:eastAsia="Calibri" w:hAnsi="Calibri"/>
                <w:sz w:val="19"/>
                <w:szCs w:val="19"/>
                <w:rtl w:val="0"/>
              </w:rPr>
              <w:t xml:space="preserve">153.7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5">
            <w:pPr>
              <w:jc w:val="right"/>
              <w:rPr/>
            </w:pPr>
            <w:r w:rsidDel="00000000" w:rsidR="00000000" w:rsidRPr="00000000">
              <w:rPr>
                <w:rFonts w:ascii="Calibri" w:cs="Calibri" w:eastAsia="Calibri" w:hAnsi="Calibri"/>
                <w:sz w:val="19"/>
                <w:szCs w:val="19"/>
                <w:rtl w:val="0"/>
              </w:rPr>
              <w:t xml:space="preserve">51.8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6">
            <w:pPr>
              <w:jc w:val="right"/>
              <w:rPr/>
            </w:pPr>
            <w:r w:rsidDel="00000000" w:rsidR="00000000" w:rsidRPr="00000000">
              <w:rPr>
                <w:rFonts w:ascii="Calibri" w:cs="Calibri" w:eastAsia="Calibri" w:hAnsi="Calibri"/>
                <w:sz w:val="19"/>
                <w:szCs w:val="19"/>
                <w:rtl w:val="0"/>
              </w:rPr>
              <w:t xml:space="preserve">17.1%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7">
            <w:pPr>
              <w:jc w:val="right"/>
              <w:rPr/>
            </w:pPr>
            <w:r w:rsidDel="00000000" w:rsidR="00000000" w:rsidRPr="00000000">
              <w:rPr>
                <w:rFonts w:ascii="Calibri" w:cs="Calibri" w:eastAsia="Calibri" w:hAnsi="Calibri"/>
                <w:sz w:val="19"/>
                <w:szCs w:val="19"/>
                <w:rtl w:val="0"/>
              </w:rPr>
              <w:t xml:space="preserve">40.3%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38">
            <w:pPr>
              <w:jc w:val="left"/>
              <w:rPr/>
            </w:pPr>
            <w:r w:rsidDel="00000000" w:rsidR="00000000" w:rsidRPr="00000000">
              <w:rPr>
                <w:rFonts w:ascii="Calibri" w:cs="Calibri" w:eastAsia="Calibri" w:hAnsi="Calibri"/>
                <w:sz w:val="19"/>
                <w:szCs w:val="19"/>
                <w:rtl w:val="0"/>
              </w:rPr>
              <w:t xml:space="preserve">Women's Street Footwear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9">
            <w:pPr>
              <w:jc w:val="right"/>
              <w:rPr/>
            </w:pPr>
            <w:r w:rsidDel="00000000" w:rsidR="00000000" w:rsidRPr="00000000">
              <w:rPr>
                <w:rFonts w:ascii="Calibri" w:cs="Calibri" w:eastAsia="Calibri" w:hAnsi="Calibri"/>
                <w:sz w:val="19"/>
                <w:szCs w:val="19"/>
                <w:rtl w:val="0"/>
              </w:rPr>
              <w:t xml:space="preserve">128.0</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A">
            <w:pPr>
              <w:jc w:val="right"/>
              <w:rPr/>
            </w:pPr>
            <w:r w:rsidDel="00000000" w:rsidR="00000000" w:rsidRPr="00000000">
              <w:rPr>
                <w:rFonts w:ascii="Calibri" w:cs="Calibri" w:eastAsia="Calibri" w:hAnsi="Calibri"/>
                <w:sz w:val="19"/>
                <w:szCs w:val="19"/>
                <w:rtl w:val="0"/>
              </w:rPr>
              <w:t xml:space="preserve">45.1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B">
            <w:pPr>
              <w:jc w:val="right"/>
              <w:rPr/>
            </w:pPr>
            <w:r w:rsidDel="00000000" w:rsidR="00000000" w:rsidRPr="00000000">
              <w:rPr>
                <w:rFonts w:ascii="Calibri" w:cs="Calibri" w:eastAsia="Calibri" w:hAnsi="Calibri"/>
                <w:sz w:val="19"/>
                <w:szCs w:val="19"/>
                <w:rtl w:val="0"/>
              </w:rPr>
              <w:t xml:space="preserve">14.2%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3C">
            <w:pPr>
              <w:jc w:val="right"/>
              <w:rPr/>
            </w:pPr>
            <w:r w:rsidDel="00000000" w:rsidR="00000000" w:rsidRPr="00000000">
              <w:rPr>
                <w:rFonts w:ascii="Calibri" w:cs="Calibri" w:eastAsia="Calibri" w:hAnsi="Calibri"/>
                <w:sz w:val="19"/>
                <w:szCs w:val="19"/>
                <w:rtl w:val="0"/>
              </w:rPr>
              <w:t xml:space="preserve">41.0%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3D">
            <w:pPr>
              <w:jc w:val="left"/>
              <w:rPr/>
            </w:pPr>
            <w:r w:rsidDel="00000000" w:rsidR="00000000" w:rsidRPr="00000000">
              <w:rPr>
                <w:rFonts w:ascii="Calibri" w:cs="Calibri" w:eastAsia="Calibri" w:hAnsi="Calibri"/>
                <w:sz w:val="19"/>
                <w:szCs w:val="19"/>
                <w:rtl w:val="0"/>
              </w:rPr>
              <w:t xml:space="preserve">Men's Apparel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E">
            <w:pPr>
              <w:jc w:val="right"/>
              <w:rPr/>
            </w:pPr>
            <w:r w:rsidDel="00000000" w:rsidR="00000000" w:rsidRPr="00000000">
              <w:rPr>
                <w:rFonts w:ascii="Calibri" w:cs="Calibri" w:eastAsia="Calibri" w:hAnsi="Calibri"/>
                <w:sz w:val="19"/>
                <w:szCs w:val="19"/>
                <w:rtl w:val="0"/>
              </w:rPr>
              <w:t xml:space="preserve">123.7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F">
            <w:pPr>
              <w:jc w:val="right"/>
              <w:rPr/>
            </w:pPr>
            <w:r w:rsidDel="00000000" w:rsidR="00000000" w:rsidRPr="00000000">
              <w:rPr>
                <w:rFonts w:ascii="Calibri" w:cs="Calibri" w:eastAsia="Calibri" w:hAnsi="Calibri"/>
                <w:sz w:val="19"/>
                <w:szCs w:val="19"/>
                <w:rtl w:val="0"/>
              </w:rPr>
              <w:t xml:space="preserve">44.8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0">
            <w:pPr>
              <w:jc w:val="right"/>
              <w:rPr/>
            </w:pPr>
            <w:r w:rsidDel="00000000" w:rsidR="00000000" w:rsidRPr="00000000">
              <w:rPr>
                <w:rFonts w:ascii="Calibri" w:cs="Calibri" w:eastAsia="Calibri" w:hAnsi="Calibri"/>
                <w:sz w:val="19"/>
                <w:szCs w:val="19"/>
                <w:rtl w:val="0"/>
              </w:rPr>
              <w:t xml:space="preserve">13.7%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1">
            <w:pPr>
              <w:jc w:val="right"/>
              <w:rPr/>
            </w:pPr>
            <w:r w:rsidDel="00000000" w:rsidR="00000000" w:rsidRPr="00000000">
              <w:rPr>
                <w:rFonts w:ascii="Calibri" w:cs="Calibri" w:eastAsia="Calibri" w:hAnsi="Calibri"/>
                <w:sz w:val="19"/>
                <w:szCs w:val="19"/>
                <w:rtl w:val="0"/>
              </w:rPr>
              <w:t xml:space="preserve">41.3%</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sz w:val="19"/>
                <w:szCs w:val="19"/>
                <w:rtl w:val="0"/>
              </w:rPr>
              <w:t xml:space="preserve">Women's Athletic Footwear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3">
            <w:pPr>
              <w:jc w:val="right"/>
              <w:rPr/>
            </w:pPr>
            <w:r w:rsidDel="00000000" w:rsidR="00000000" w:rsidRPr="00000000">
              <w:rPr>
                <w:rFonts w:ascii="Calibri" w:cs="Calibri" w:eastAsia="Calibri" w:hAnsi="Calibri"/>
                <w:sz w:val="19"/>
                <w:szCs w:val="19"/>
                <w:rtl w:val="0"/>
              </w:rPr>
              <w:t xml:space="preserve">106.6</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4">
            <w:pPr>
              <w:jc w:val="right"/>
              <w:rPr/>
            </w:pPr>
            <w:r w:rsidDel="00000000" w:rsidR="00000000" w:rsidRPr="00000000">
              <w:rPr>
                <w:rFonts w:ascii="Calibri" w:cs="Calibri" w:eastAsia="Calibri" w:hAnsi="Calibri"/>
                <w:sz w:val="19"/>
                <w:szCs w:val="19"/>
                <w:rtl w:val="0"/>
              </w:rPr>
              <w:t xml:space="preserve">39.0</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5">
            <w:pPr>
              <w:jc w:val="right"/>
              <w:rPr/>
            </w:pPr>
            <w:r w:rsidDel="00000000" w:rsidR="00000000" w:rsidRPr="00000000">
              <w:rPr>
                <w:rFonts w:ascii="Calibri" w:cs="Calibri" w:eastAsia="Calibri" w:hAnsi="Calibri"/>
                <w:sz w:val="19"/>
                <w:szCs w:val="19"/>
                <w:rtl w:val="0"/>
              </w:rPr>
              <w:t xml:space="preserve">11.8%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46">
            <w:pPr>
              <w:jc w:val="right"/>
              <w:rPr/>
            </w:pPr>
            <w:r w:rsidDel="00000000" w:rsidR="00000000" w:rsidRPr="00000000">
              <w:rPr>
                <w:rFonts w:ascii="Calibri" w:cs="Calibri" w:eastAsia="Calibri" w:hAnsi="Calibri"/>
                <w:sz w:val="19"/>
                <w:szCs w:val="19"/>
                <w:rtl w:val="0"/>
              </w:rPr>
              <w:t xml:space="preserve">42.4%</w:t>
            </w:r>
            <w:r w:rsidDel="00000000" w:rsidR="00000000" w:rsidRPr="00000000">
              <w:rPr>
                <w:rtl w:val="0"/>
              </w:rPr>
            </w:r>
          </w:p>
        </w:tc>
      </w:tr>
    </w:tbl>
    <w:p w:rsidR="00000000" w:rsidDel="00000000" w:rsidP="00000000" w:rsidRDefault="00000000" w:rsidRPr="00000000" w14:paraId="00000047">
      <w:pPr>
        <w:spacing w:before="200" w:lineRule="auto"/>
        <w:rPr/>
      </w:pP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sz w:val="21"/>
          <w:szCs w:val="21"/>
          <w:rtl w:val="0"/>
        </w:rPr>
        <w:t xml:space="preserve">Footwear (street + athletic, men's + women's combined) accounts for roughly 66% of total sales, confirming footwear as Adidas's core revenue engine at retail, with apparel as a meaningful but secondary contributor (~34%).</w:t>
      </w:r>
      <w:r w:rsidDel="00000000" w:rsidR="00000000" w:rsidRPr="00000000">
        <w:rPr>
          <w:rtl w:val="0"/>
        </w:rPr>
      </w:r>
    </w:p>
    <w:p w:rsidR="00000000" w:rsidDel="00000000" w:rsidP="00000000" w:rsidRDefault="00000000" w:rsidRPr="00000000" w14:paraId="00000049">
      <w:pPr>
        <w:spacing w:after="200" w:lineRule="auto"/>
        <w:jc w:val="center"/>
        <w:rPr/>
      </w:pPr>
      <w:r w:rsidDel="00000000" w:rsidR="00000000" w:rsidRPr="00000000">
        <w:rPr/>
        <w:drawing>
          <wp:inline distB="0" distT="0" distL="0" distR="0">
            <wp:extent cx="5760720" cy="292608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sz w:val="21"/>
          <w:szCs w:val="21"/>
          <w:rtl w:val="0"/>
        </w:rPr>
        <w:t xml:space="preserve">Every category grew substantially in 2021, but growth rates diverged: Men's Street Footwear grew fastest (+352%), while Women's Athletic Footwear grew slowest (+251%), though still strong. This suggests street/lifestyle footwear is outpacing performance/athletic lines in the current market — an important signal for product mix planning.</w:t>
      </w:r>
      <w:r w:rsidDel="00000000" w:rsidR="00000000" w:rsidRPr="00000000">
        <w:rPr>
          <w:rtl w:val="0"/>
        </w:rPr>
      </w:r>
    </w:p>
    <w:p w:rsidR="00000000" w:rsidDel="00000000" w:rsidP="00000000" w:rsidRDefault="00000000" w:rsidRPr="00000000" w14:paraId="0000004B">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3. Retail Partner Performance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sz w:val="21"/>
          <w:szCs w:val="21"/>
          <w:rtl w:val="0"/>
        </w:rPr>
        <w:t xml:space="preserve">Retailer performance is highly uneven. West Gear and Foot Locker are the anchor partners; Walmart and Amazon are comparatively underdeveloped.</w:t>
      </w:r>
      <w:r w:rsidDel="00000000" w:rsidR="00000000" w:rsidRPr="00000000">
        <w:rPr>
          <w:rtl w:val="0"/>
        </w:rPr>
      </w:r>
    </w:p>
    <w:p w:rsidR="00000000" w:rsidDel="00000000" w:rsidP="00000000" w:rsidRDefault="00000000" w:rsidRPr="00000000" w14:paraId="0000004D">
      <w:pPr>
        <w:spacing w:after="200" w:lineRule="auto"/>
        <w:jc w:val="center"/>
        <w:rPr/>
      </w:pPr>
      <w:r w:rsidDel="00000000" w:rsidR="00000000" w:rsidRPr="00000000">
        <w:rPr/>
        <w:drawing>
          <wp:inline distB="0" distT="0" distL="0" distR="0">
            <wp:extent cx="5760720" cy="256032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0720" cy="2560320"/>
                    </a:xfrm>
                    <a:prstGeom prst="rect"/>
                    <a:ln/>
                  </pic:spPr>
                </pic:pic>
              </a:graphicData>
            </a:graphic>
          </wp:inline>
        </w:drawing>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500"/>
        <w:gridCol w:w="1900"/>
        <w:tblGridChange w:id="0">
          <w:tblGrid>
            <w:gridCol w:w="2400"/>
            <w:gridCol w:w="1600"/>
            <w:gridCol w:w="1600"/>
            <w:gridCol w:w="1500"/>
            <w:gridCol w:w="1900"/>
          </w:tblGrid>
        </w:tblGridChange>
      </w:tblGrid>
      <w:tr>
        <w:trPr>
          <w:cantSplit w:val="0"/>
          <w:tblHeader w:val="1"/>
        </w:trPr>
        <w:tc>
          <w:tcPr>
            <w:shd w:fill="000000" w:val="clear"/>
            <w:tcMar>
              <w:top w:w="90.0" w:type="dxa"/>
              <w:left w:w="100.0" w:type="dxa"/>
              <w:bottom w:w="90.0" w:type="dxa"/>
              <w:right w:w="10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sz w:val="19"/>
                <w:szCs w:val="19"/>
                <w:rtl w:val="0"/>
              </w:rPr>
              <w:t xml:space="preserve">Retailer</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4F">
            <w:pPr>
              <w:rPr/>
            </w:pPr>
            <w:r w:rsidDel="00000000" w:rsidR="00000000" w:rsidRPr="00000000">
              <w:rPr>
                <w:rFonts w:ascii="Calibri" w:cs="Calibri" w:eastAsia="Calibri" w:hAnsi="Calibri"/>
                <w:b w:val="1"/>
                <w:bCs w:val="1"/>
                <w:color w:val="ffffff"/>
                <w:sz w:val="19"/>
                <w:szCs w:val="19"/>
                <w:rtl w:val="0"/>
              </w:rPr>
              <w:t xml:space="preserve">Sales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50">
            <w:pPr>
              <w:rPr/>
            </w:pPr>
            <w:r w:rsidDel="00000000" w:rsidR="00000000" w:rsidRPr="00000000">
              <w:rPr>
                <w:rFonts w:ascii="Calibri" w:cs="Calibri" w:eastAsia="Calibri" w:hAnsi="Calibri"/>
                <w:b w:val="1"/>
                <w:bCs w:val="1"/>
                <w:color w:val="ffffff"/>
                <w:sz w:val="19"/>
                <w:szCs w:val="19"/>
                <w:rtl w:val="0"/>
              </w:rPr>
              <w:t xml:space="preserve">Profit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ffffff"/>
                <w:sz w:val="19"/>
                <w:szCs w:val="19"/>
                <w:rtl w:val="0"/>
              </w:rPr>
              <w:t xml:space="preserve">% of Sales</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ffffff"/>
                <w:sz w:val="19"/>
                <w:szCs w:val="19"/>
                <w:rtl w:val="0"/>
              </w:rPr>
              <w:t xml:space="preserve">Avg Margin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sz w:val="19"/>
                <w:szCs w:val="19"/>
                <w:rtl w:val="0"/>
              </w:rPr>
              <w:t xml:space="preserve">West Gear</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4">
            <w:pPr>
              <w:jc w:val="right"/>
              <w:rPr/>
            </w:pPr>
            <w:r w:rsidDel="00000000" w:rsidR="00000000" w:rsidRPr="00000000">
              <w:rPr>
                <w:rFonts w:ascii="Calibri" w:cs="Calibri" w:eastAsia="Calibri" w:hAnsi="Calibri"/>
                <w:sz w:val="19"/>
                <w:szCs w:val="19"/>
                <w:rtl w:val="0"/>
              </w:rPr>
              <w:t xml:space="preserve">243.0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5">
            <w:pPr>
              <w:jc w:val="right"/>
              <w:rPr/>
            </w:pPr>
            <w:r w:rsidDel="00000000" w:rsidR="00000000" w:rsidRPr="00000000">
              <w:rPr>
                <w:rFonts w:ascii="Calibri" w:cs="Calibri" w:eastAsia="Calibri" w:hAnsi="Calibri"/>
                <w:sz w:val="19"/>
                <w:szCs w:val="19"/>
                <w:rtl w:val="0"/>
              </w:rPr>
              <w:t xml:space="preserve">85.7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6">
            <w:pPr>
              <w:jc w:val="right"/>
              <w:rPr/>
            </w:pPr>
            <w:r w:rsidDel="00000000" w:rsidR="00000000" w:rsidRPr="00000000">
              <w:rPr>
                <w:rFonts w:ascii="Calibri" w:cs="Calibri" w:eastAsia="Calibri" w:hAnsi="Calibri"/>
                <w:sz w:val="19"/>
                <w:szCs w:val="19"/>
                <w:rtl w:val="0"/>
              </w:rPr>
              <w:t xml:space="preserve">27.0%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7">
            <w:pPr>
              <w:jc w:val="right"/>
              <w:rPr/>
            </w:pPr>
            <w:r w:rsidDel="00000000" w:rsidR="00000000" w:rsidRPr="00000000">
              <w:rPr>
                <w:rFonts w:ascii="Calibri" w:cs="Calibri" w:eastAsia="Calibri" w:hAnsi="Calibri"/>
                <w:sz w:val="19"/>
                <w:szCs w:val="19"/>
                <w:rtl w:val="0"/>
              </w:rPr>
              <w:t xml:space="preserve">37.5%</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sz w:val="19"/>
                <w:szCs w:val="19"/>
                <w:rtl w:val="0"/>
              </w:rPr>
              <w:t xml:space="preserve">Foot Locker</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9">
            <w:pPr>
              <w:jc w:val="right"/>
              <w:rPr/>
            </w:pPr>
            <w:r w:rsidDel="00000000" w:rsidR="00000000" w:rsidRPr="00000000">
              <w:rPr>
                <w:rFonts w:ascii="Calibri" w:cs="Calibri" w:eastAsia="Calibri" w:hAnsi="Calibri"/>
                <w:sz w:val="19"/>
                <w:szCs w:val="19"/>
                <w:rtl w:val="0"/>
              </w:rPr>
              <w:t xml:space="preserve">220.1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A">
            <w:pPr>
              <w:jc w:val="right"/>
              <w:rPr/>
            </w:pPr>
            <w:r w:rsidDel="00000000" w:rsidR="00000000" w:rsidRPr="00000000">
              <w:rPr>
                <w:rFonts w:ascii="Calibri" w:cs="Calibri" w:eastAsia="Calibri" w:hAnsi="Calibri"/>
                <w:sz w:val="19"/>
                <w:szCs w:val="19"/>
                <w:rtl w:val="0"/>
              </w:rPr>
              <w:t xml:space="preserve">80.7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B">
            <w:pPr>
              <w:jc w:val="right"/>
              <w:rPr/>
            </w:pPr>
            <w:r w:rsidDel="00000000" w:rsidR="00000000" w:rsidRPr="00000000">
              <w:rPr>
                <w:rFonts w:ascii="Calibri" w:cs="Calibri" w:eastAsia="Calibri" w:hAnsi="Calibri"/>
                <w:sz w:val="19"/>
                <w:szCs w:val="19"/>
                <w:rtl w:val="0"/>
              </w:rPr>
              <w:t xml:space="preserve">24.5%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5C">
            <w:pPr>
              <w:jc w:val="right"/>
              <w:rPr/>
            </w:pPr>
            <w:r w:rsidDel="00000000" w:rsidR="00000000" w:rsidRPr="00000000">
              <w:rPr>
                <w:rFonts w:ascii="Calibri" w:cs="Calibri" w:eastAsia="Calibri" w:hAnsi="Calibri"/>
                <w:sz w:val="19"/>
                <w:szCs w:val="19"/>
                <w:rtl w:val="0"/>
              </w:rPr>
              <w:t xml:space="preserve">40.0%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D">
            <w:pPr>
              <w:jc w:val="left"/>
              <w:rPr/>
            </w:pPr>
            <w:r w:rsidDel="00000000" w:rsidR="00000000" w:rsidRPr="00000000">
              <w:rPr>
                <w:rFonts w:ascii="Calibri" w:cs="Calibri" w:eastAsia="Calibri" w:hAnsi="Calibri"/>
                <w:sz w:val="19"/>
                <w:szCs w:val="19"/>
                <w:rtl w:val="0"/>
              </w:rPr>
              <w:t xml:space="preserve">Sports Direct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E">
            <w:pPr>
              <w:jc w:val="right"/>
              <w:rPr/>
            </w:pPr>
            <w:r w:rsidDel="00000000" w:rsidR="00000000" w:rsidRPr="00000000">
              <w:rPr>
                <w:rFonts w:ascii="Calibri" w:cs="Calibri" w:eastAsia="Calibri" w:hAnsi="Calibri"/>
                <w:sz w:val="19"/>
                <w:szCs w:val="19"/>
                <w:rtl w:val="0"/>
              </w:rPr>
              <w:t xml:space="preserve">182.5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F">
            <w:pPr>
              <w:jc w:val="right"/>
              <w:rPr/>
            </w:pPr>
            <w:r w:rsidDel="00000000" w:rsidR="00000000" w:rsidRPr="00000000">
              <w:rPr>
                <w:rFonts w:ascii="Calibri" w:cs="Calibri" w:eastAsia="Calibri" w:hAnsi="Calibri"/>
                <w:sz w:val="19"/>
                <w:szCs w:val="19"/>
                <w:rtl w:val="0"/>
              </w:rPr>
              <w:t xml:space="preserve">74.3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0">
            <w:pPr>
              <w:jc w:val="right"/>
              <w:rPr/>
            </w:pPr>
            <w:r w:rsidDel="00000000" w:rsidR="00000000" w:rsidRPr="00000000">
              <w:rPr>
                <w:rFonts w:ascii="Calibri" w:cs="Calibri" w:eastAsia="Calibri" w:hAnsi="Calibri"/>
                <w:sz w:val="19"/>
                <w:szCs w:val="19"/>
                <w:rtl w:val="0"/>
              </w:rPr>
              <w:t xml:space="preserve">20.3%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1">
            <w:pPr>
              <w:jc w:val="right"/>
              <w:rPr/>
            </w:pPr>
            <w:r w:rsidDel="00000000" w:rsidR="00000000" w:rsidRPr="00000000">
              <w:rPr>
                <w:rFonts w:ascii="Calibri" w:cs="Calibri" w:eastAsia="Calibri" w:hAnsi="Calibri"/>
                <w:sz w:val="19"/>
                <w:szCs w:val="19"/>
                <w:rtl w:val="0"/>
              </w:rPr>
              <w:t xml:space="preserve">45.6%</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2">
            <w:pPr>
              <w:jc w:val="left"/>
              <w:rPr/>
            </w:pPr>
            <w:r w:rsidDel="00000000" w:rsidR="00000000" w:rsidRPr="00000000">
              <w:rPr>
                <w:rFonts w:ascii="Calibri" w:cs="Calibri" w:eastAsia="Calibri" w:hAnsi="Calibri"/>
                <w:sz w:val="19"/>
                <w:szCs w:val="19"/>
                <w:rtl w:val="0"/>
              </w:rPr>
              <w:t xml:space="preserve">Kohl's</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3">
            <w:pPr>
              <w:jc w:val="right"/>
              <w:rPr/>
            </w:pPr>
            <w:r w:rsidDel="00000000" w:rsidR="00000000" w:rsidRPr="00000000">
              <w:rPr>
                <w:rFonts w:ascii="Calibri" w:cs="Calibri" w:eastAsia="Calibri" w:hAnsi="Calibri"/>
                <w:sz w:val="19"/>
                <w:szCs w:val="19"/>
                <w:rtl w:val="0"/>
              </w:rPr>
              <w:t xml:space="preserve">102.1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4">
            <w:pPr>
              <w:jc w:val="right"/>
              <w:rPr/>
            </w:pPr>
            <w:r w:rsidDel="00000000" w:rsidR="00000000" w:rsidRPr="00000000">
              <w:rPr>
                <w:rFonts w:ascii="Calibri" w:cs="Calibri" w:eastAsia="Calibri" w:hAnsi="Calibri"/>
                <w:sz w:val="19"/>
                <w:szCs w:val="19"/>
                <w:rtl w:val="0"/>
              </w:rPr>
              <w:t xml:space="preserve">36.8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5">
            <w:pPr>
              <w:jc w:val="right"/>
              <w:rPr/>
            </w:pPr>
            <w:r w:rsidDel="00000000" w:rsidR="00000000" w:rsidRPr="00000000">
              <w:rPr>
                <w:rFonts w:ascii="Calibri" w:cs="Calibri" w:eastAsia="Calibri" w:hAnsi="Calibri"/>
                <w:sz w:val="19"/>
                <w:szCs w:val="19"/>
                <w:rtl w:val="0"/>
              </w:rPr>
              <w:t xml:space="preserve">11.3%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6">
            <w:pPr>
              <w:jc w:val="right"/>
              <w:rPr/>
            </w:pPr>
            <w:r w:rsidDel="00000000" w:rsidR="00000000" w:rsidRPr="00000000">
              <w:rPr>
                <w:rFonts w:ascii="Calibri" w:cs="Calibri" w:eastAsia="Calibri" w:hAnsi="Calibri"/>
                <w:sz w:val="19"/>
                <w:szCs w:val="19"/>
                <w:rtl w:val="0"/>
              </w:rPr>
              <w:t xml:space="preserve">40.9%</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7">
            <w:pPr>
              <w:jc w:val="left"/>
              <w:rPr/>
            </w:pPr>
            <w:r w:rsidDel="00000000" w:rsidR="00000000" w:rsidRPr="00000000">
              <w:rPr>
                <w:rFonts w:ascii="Calibri" w:cs="Calibri" w:eastAsia="Calibri" w:hAnsi="Calibri"/>
                <w:sz w:val="19"/>
                <w:szCs w:val="19"/>
                <w:rtl w:val="0"/>
              </w:rPr>
              <w:t xml:space="preserve">Amazon</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8">
            <w:pPr>
              <w:jc w:val="right"/>
              <w:rPr/>
            </w:pPr>
            <w:r w:rsidDel="00000000" w:rsidR="00000000" w:rsidRPr="00000000">
              <w:rPr>
                <w:rFonts w:ascii="Calibri" w:cs="Calibri" w:eastAsia="Calibri" w:hAnsi="Calibri"/>
                <w:sz w:val="19"/>
                <w:szCs w:val="19"/>
                <w:rtl w:val="0"/>
              </w:rPr>
              <w:t xml:space="preserve">77.7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9">
            <w:pPr>
              <w:jc w:val="right"/>
              <w:rPr/>
            </w:pPr>
            <w:r w:rsidDel="00000000" w:rsidR="00000000" w:rsidRPr="00000000">
              <w:rPr>
                <w:rFonts w:ascii="Calibri" w:cs="Calibri" w:eastAsia="Calibri" w:hAnsi="Calibri"/>
                <w:sz w:val="19"/>
                <w:szCs w:val="19"/>
                <w:rtl w:val="0"/>
              </w:rPr>
              <w:t xml:space="preserve">28.8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A">
            <w:pPr>
              <w:jc w:val="right"/>
              <w:rPr/>
            </w:pPr>
            <w:r w:rsidDel="00000000" w:rsidR="00000000" w:rsidRPr="00000000">
              <w:rPr>
                <w:rFonts w:ascii="Calibri" w:cs="Calibri" w:eastAsia="Calibri" w:hAnsi="Calibri"/>
                <w:sz w:val="19"/>
                <w:szCs w:val="19"/>
                <w:rtl w:val="0"/>
              </w:rPr>
              <w:t xml:space="preserve">8.6%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B">
            <w:pPr>
              <w:jc w:val="right"/>
              <w:rPr/>
            </w:pPr>
            <w:r w:rsidDel="00000000" w:rsidR="00000000" w:rsidRPr="00000000">
              <w:rPr>
                <w:rFonts w:ascii="Calibri" w:cs="Calibri" w:eastAsia="Calibri" w:hAnsi="Calibri"/>
                <w:sz w:val="19"/>
                <w:szCs w:val="19"/>
                <w:rtl w:val="0"/>
              </w:rPr>
              <w:t xml:space="preserve">41.9%</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sz w:val="19"/>
                <w:szCs w:val="19"/>
                <w:rtl w:val="0"/>
              </w:rPr>
              <w:t xml:space="preserve">Walmart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D">
            <w:pPr>
              <w:jc w:val="right"/>
              <w:rPr/>
            </w:pPr>
            <w:r w:rsidDel="00000000" w:rsidR="00000000" w:rsidRPr="00000000">
              <w:rPr>
                <w:rFonts w:ascii="Calibri" w:cs="Calibri" w:eastAsia="Calibri" w:hAnsi="Calibri"/>
                <w:sz w:val="19"/>
                <w:szCs w:val="19"/>
                <w:rtl w:val="0"/>
              </w:rPr>
              <w:t xml:space="preserve">74.6</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E">
            <w:pPr>
              <w:jc w:val="right"/>
              <w:rPr/>
            </w:pPr>
            <w:r w:rsidDel="00000000" w:rsidR="00000000" w:rsidRPr="00000000">
              <w:rPr>
                <w:rFonts w:ascii="Calibri" w:cs="Calibri" w:eastAsia="Calibri" w:hAnsi="Calibri"/>
                <w:sz w:val="19"/>
                <w:szCs w:val="19"/>
                <w:rtl w:val="0"/>
              </w:rPr>
              <w:t xml:space="preserve">25.8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6F">
            <w:pPr>
              <w:jc w:val="right"/>
              <w:rPr/>
            </w:pPr>
            <w:r w:rsidDel="00000000" w:rsidR="00000000" w:rsidRPr="00000000">
              <w:rPr>
                <w:rFonts w:ascii="Calibri" w:cs="Calibri" w:eastAsia="Calibri" w:hAnsi="Calibri"/>
                <w:sz w:val="19"/>
                <w:szCs w:val="19"/>
                <w:rtl w:val="0"/>
              </w:rPr>
              <w:t xml:space="preserve">8.3%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70">
            <w:pPr>
              <w:jc w:val="right"/>
              <w:rPr/>
            </w:pPr>
            <w:r w:rsidDel="00000000" w:rsidR="00000000" w:rsidRPr="00000000">
              <w:rPr>
                <w:rFonts w:ascii="Calibri" w:cs="Calibri" w:eastAsia="Calibri" w:hAnsi="Calibri"/>
                <w:sz w:val="19"/>
                <w:szCs w:val="19"/>
                <w:rtl w:val="0"/>
              </w:rPr>
              <w:t xml:space="preserve">38.1%</w:t>
            </w:r>
            <w:r w:rsidDel="00000000" w:rsidR="00000000" w:rsidRPr="00000000">
              <w:rPr>
                <w:rtl w:val="0"/>
              </w:rPr>
            </w:r>
          </w:p>
        </w:tc>
      </w:tr>
    </w:tbl>
    <w:p w:rsidR="00000000" w:rsidDel="00000000" w:rsidP="00000000" w:rsidRDefault="00000000" w:rsidRPr="00000000" w14:paraId="00000071">
      <w:pPr>
        <w:spacing w:before="200" w:lineRule="auto"/>
        <w:rPr/>
      </w:pP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Fonts w:ascii="Calibri" w:cs="Calibri" w:eastAsia="Calibri" w:hAnsi="Calibri"/>
          <w:sz w:val="21"/>
          <w:szCs w:val="21"/>
          <w:rtl w:val="0"/>
        </w:rPr>
        <w:t xml:space="preserve">Notably, Sports Direct posts the strongest average margin (45.6%) despite ranking third in volume — indicating disciplined pricing or a favorable product mix that other partners could learn from. West Gear leans heavily on in-store sales (64% of its volume), while Walmart and Amazon are comparatively balanced across channels but simply generate low absolute volume, suggesting under-investment or weak shelf/placement presence rather than a structural problem.</w:t>
      </w:r>
      <w:r w:rsidDel="00000000" w:rsidR="00000000" w:rsidRPr="00000000">
        <w:rPr>
          <w:rtl w:val="0"/>
        </w:rPr>
      </w:r>
    </w:p>
    <w:p w:rsidR="00000000" w:rsidDel="00000000" w:rsidP="00000000" w:rsidRDefault="00000000" w:rsidRPr="00000000" w14:paraId="00000073">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4. Regional &amp; Geographic Performance</w:t>
      </w:r>
      <w:r w:rsidDel="00000000" w:rsidR="00000000" w:rsidRPr="00000000">
        <w:rPr>
          <w:rtl w:val="0"/>
        </w:rPr>
      </w:r>
    </w:p>
    <w:p w:rsidR="00000000" w:rsidDel="00000000" w:rsidP="00000000" w:rsidRDefault="00000000" w:rsidRPr="00000000" w14:paraId="00000074">
      <w:pPr>
        <w:spacing w:after="200" w:lineRule="auto"/>
        <w:jc w:val="center"/>
        <w:rPr/>
      </w:pPr>
      <w:r w:rsidDel="00000000" w:rsidR="00000000" w:rsidRPr="00000000">
        <w:rPr/>
        <w:drawing>
          <wp:inline distB="0" distT="0" distL="0" distR="0">
            <wp:extent cx="5029200" cy="292608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29200" cy="2926080"/>
                    </a:xfrm>
                    <a:prstGeom prst="rect"/>
                    <a:ln/>
                  </pic:spPr>
                </pic:pic>
              </a:graphicData>
            </a:graphic>
          </wp:inline>
        </w:drawing>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500"/>
        <w:gridCol w:w="1900"/>
        <w:tblGridChange w:id="0">
          <w:tblGrid>
            <w:gridCol w:w="2400"/>
            <w:gridCol w:w="1600"/>
            <w:gridCol w:w="1600"/>
            <w:gridCol w:w="1500"/>
            <w:gridCol w:w="1900"/>
          </w:tblGrid>
        </w:tblGridChange>
      </w:tblGrid>
      <w:tr>
        <w:trPr>
          <w:cantSplit w:val="0"/>
          <w:tblHeader w:val="1"/>
        </w:trPr>
        <w:tc>
          <w:tcPr>
            <w:shd w:fill="000000" w:val="clear"/>
            <w:tcMar>
              <w:top w:w="90.0" w:type="dxa"/>
              <w:left w:w="100.0" w:type="dxa"/>
              <w:bottom w:w="90.0" w:type="dxa"/>
              <w:right w:w="100.0" w:type="dxa"/>
            </w:tcMa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ffffff"/>
                <w:sz w:val="19"/>
                <w:szCs w:val="19"/>
                <w:rtl w:val="0"/>
              </w:rPr>
              <w:t xml:space="preserve">Region</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ffffff"/>
                <w:sz w:val="19"/>
                <w:szCs w:val="19"/>
                <w:rtl w:val="0"/>
              </w:rPr>
              <w:t xml:space="preserve">Sales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ffffff"/>
                <w:sz w:val="19"/>
                <w:szCs w:val="19"/>
                <w:rtl w:val="0"/>
              </w:rPr>
              <w:t xml:space="preserve">Profit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ffffff"/>
                <w:sz w:val="19"/>
                <w:szCs w:val="19"/>
                <w:rtl w:val="0"/>
              </w:rPr>
              <w:t xml:space="preserve">% of Sales</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ffffff"/>
                <w:sz w:val="19"/>
                <w:szCs w:val="19"/>
                <w:rtl w:val="0"/>
              </w:rPr>
              <w:t xml:space="preserve">Avg Margin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sz w:val="19"/>
                <w:szCs w:val="19"/>
                <w:rtl w:val="0"/>
              </w:rPr>
              <w:t xml:space="preserve">West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B">
            <w:pPr>
              <w:jc w:val="right"/>
              <w:rPr/>
            </w:pPr>
            <w:r w:rsidDel="00000000" w:rsidR="00000000" w:rsidRPr="00000000">
              <w:rPr>
                <w:rFonts w:ascii="Calibri" w:cs="Calibri" w:eastAsia="Calibri" w:hAnsi="Calibri"/>
                <w:sz w:val="19"/>
                <w:szCs w:val="19"/>
                <w:rtl w:val="0"/>
              </w:rPr>
              <w:t xml:space="preserve">269.9</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C">
            <w:pPr>
              <w:jc w:val="right"/>
              <w:rPr/>
            </w:pPr>
            <w:r w:rsidDel="00000000" w:rsidR="00000000" w:rsidRPr="00000000">
              <w:rPr>
                <w:rFonts w:ascii="Calibri" w:cs="Calibri" w:eastAsia="Calibri" w:hAnsi="Calibri"/>
                <w:sz w:val="19"/>
                <w:szCs w:val="19"/>
                <w:rtl w:val="0"/>
              </w:rPr>
              <w:t xml:space="preserve">89.6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D">
            <w:pPr>
              <w:jc w:val="right"/>
              <w:rPr/>
            </w:pPr>
            <w:r w:rsidDel="00000000" w:rsidR="00000000" w:rsidRPr="00000000">
              <w:rPr>
                <w:rFonts w:ascii="Calibri" w:cs="Calibri" w:eastAsia="Calibri" w:hAnsi="Calibri"/>
                <w:sz w:val="19"/>
                <w:szCs w:val="19"/>
                <w:rtl w:val="0"/>
              </w:rPr>
              <w:t xml:space="preserve">30.0%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E">
            <w:pPr>
              <w:jc w:val="right"/>
              <w:rPr/>
            </w:pPr>
            <w:r w:rsidDel="00000000" w:rsidR="00000000" w:rsidRPr="00000000">
              <w:rPr>
                <w:rFonts w:ascii="Calibri" w:cs="Calibri" w:eastAsia="Calibri" w:hAnsi="Calibri"/>
                <w:sz w:val="19"/>
                <w:szCs w:val="19"/>
                <w:rtl w:val="0"/>
              </w:rPr>
              <w:t xml:space="preserve">40.0%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7F">
            <w:pPr>
              <w:jc w:val="left"/>
              <w:rPr/>
            </w:pPr>
            <w:r w:rsidDel="00000000" w:rsidR="00000000" w:rsidRPr="00000000">
              <w:rPr>
                <w:rFonts w:ascii="Calibri" w:cs="Calibri" w:eastAsia="Calibri" w:hAnsi="Calibri"/>
                <w:sz w:val="19"/>
                <w:szCs w:val="19"/>
                <w:rtl w:val="0"/>
              </w:rPr>
              <w:t xml:space="preserve">Northeast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0">
            <w:pPr>
              <w:jc w:val="right"/>
              <w:rPr/>
            </w:pPr>
            <w:r w:rsidDel="00000000" w:rsidR="00000000" w:rsidRPr="00000000">
              <w:rPr>
                <w:rFonts w:ascii="Calibri" w:cs="Calibri" w:eastAsia="Calibri" w:hAnsi="Calibri"/>
                <w:sz w:val="19"/>
                <w:szCs w:val="19"/>
                <w:rtl w:val="0"/>
              </w:rPr>
              <w:t xml:space="preserve">186.3</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1">
            <w:pPr>
              <w:jc w:val="right"/>
              <w:rPr/>
            </w:pPr>
            <w:r w:rsidDel="00000000" w:rsidR="00000000" w:rsidRPr="00000000">
              <w:rPr>
                <w:rFonts w:ascii="Calibri" w:cs="Calibri" w:eastAsia="Calibri" w:hAnsi="Calibri"/>
                <w:sz w:val="19"/>
                <w:szCs w:val="19"/>
                <w:rtl w:val="0"/>
              </w:rPr>
              <w:t xml:space="preserve">68.0</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2">
            <w:pPr>
              <w:jc w:val="right"/>
              <w:rPr/>
            </w:pPr>
            <w:r w:rsidDel="00000000" w:rsidR="00000000" w:rsidRPr="00000000">
              <w:rPr>
                <w:rFonts w:ascii="Calibri" w:cs="Calibri" w:eastAsia="Calibri" w:hAnsi="Calibri"/>
                <w:sz w:val="19"/>
                <w:szCs w:val="19"/>
                <w:rtl w:val="0"/>
              </w:rPr>
              <w:t xml:space="preserve">20.7%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3">
            <w:pPr>
              <w:jc w:val="right"/>
              <w:rPr/>
            </w:pPr>
            <w:r w:rsidDel="00000000" w:rsidR="00000000" w:rsidRPr="00000000">
              <w:rPr>
                <w:rFonts w:ascii="Calibri" w:cs="Calibri" w:eastAsia="Calibri" w:hAnsi="Calibri"/>
                <w:sz w:val="19"/>
                <w:szCs w:val="19"/>
                <w:rtl w:val="0"/>
              </w:rPr>
              <w:t xml:space="preserve">41.0%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sz w:val="19"/>
                <w:szCs w:val="19"/>
                <w:rtl w:val="0"/>
              </w:rPr>
              <w:t xml:space="preserve">Southeast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5">
            <w:pPr>
              <w:jc w:val="right"/>
              <w:rPr/>
            </w:pPr>
            <w:r w:rsidDel="00000000" w:rsidR="00000000" w:rsidRPr="00000000">
              <w:rPr>
                <w:rFonts w:ascii="Calibri" w:cs="Calibri" w:eastAsia="Calibri" w:hAnsi="Calibri"/>
                <w:sz w:val="19"/>
                <w:szCs w:val="19"/>
                <w:rtl w:val="0"/>
              </w:rPr>
              <w:t xml:space="preserve">163.2</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6">
            <w:pPr>
              <w:jc w:val="right"/>
              <w:rPr/>
            </w:pPr>
            <w:r w:rsidDel="00000000" w:rsidR="00000000" w:rsidRPr="00000000">
              <w:rPr>
                <w:rFonts w:ascii="Calibri" w:cs="Calibri" w:eastAsia="Calibri" w:hAnsi="Calibri"/>
                <w:sz w:val="19"/>
                <w:szCs w:val="19"/>
                <w:rtl w:val="0"/>
              </w:rPr>
              <w:t xml:space="preserve">60.6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7">
            <w:pPr>
              <w:jc w:val="right"/>
              <w:rPr/>
            </w:pPr>
            <w:r w:rsidDel="00000000" w:rsidR="00000000" w:rsidRPr="00000000">
              <w:rPr>
                <w:rFonts w:ascii="Calibri" w:cs="Calibri" w:eastAsia="Calibri" w:hAnsi="Calibri"/>
                <w:sz w:val="19"/>
                <w:szCs w:val="19"/>
                <w:rtl w:val="0"/>
              </w:rPr>
              <w:t xml:space="preserve">18.1%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8">
            <w:pPr>
              <w:jc w:val="right"/>
              <w:rPr/>
            </w:pPr>
            <w:r w:rsidDel="00000000" w:rsidR="00000000" w:rsidRPr="00000000">
              <w:rPr>
                <w:rFonts w:ascii="Calibri" w:cs="Calibri" w:eastAsia="Calibri" w:hAnsi="Calibri"/>
                <w:sz w:val="19"/>
                <w:szCs w:val="19"/>
                <w:rtl w:val="0"/>
              </w:rPr>
              <w:t xml:space="preserve">42.0%</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sz w:val="19"/>
                <w:szCs w:val="19"/>
                <w:rtl w:val="0"/>
              </w:rPr>
              <w:t xml:space="preserve">South</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A">
            <w:pPr>
              <w:jc w:val="right"/>
              <w:rPr/>
            </w:pPr>
            <w:r w:rsidDel="00000000" w:rsidR="00000000" w:rsidRPr="00000000">
              <w:rPr>
                <w:rFonts w:ascii="Calibri" w:cs="Calibri" w:eastAsia="Calibri" w:hAnsi="Calibri"/>
                <w:sz w:val="19"/>
                <w:szCs w:val="19"/>
                <w:rtl w:val="0"/>
              </w:rPr>
              <w:t xml:space="preserve">144.7</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B">
            <w:pPr>
              <w:jc w:val="right"/>
              <w:rPr/>
            </w:pPr>
            <w:r w:rsidDel="00000000" w:rsidR="00000000" w:rsidRPr="00000000">
              <w:rPr>
                <w:rFonts w:ascii="Calibri" w:cs="Calibri" w:eastAsia="Calibri" w:hAnsi="Calibri"/>
                <w:sz w:val="19"/>
                <w:szCs w:val="19"/>
                <w:rtl w:val="0"/>
              </w:rPr>
              <w:t xml:space="preserve">61.1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C">
            <w:pPr>
              <w:jc w:val="right"/>
              <w:rPr/>
            </w:pPr>
            <w:r w:rsidDel="00000000" w:rsidR="00000000" w:rsidRPr="00000000">
              <w:rPr>
                <w:rFonts w:ascii="Calibri" w:cs="Calibri" w:eastAsia="Calibri" w:hAnsi="Calibri"/>
                <w:sz w:val="19"/>
                <w:szCs w:val="19"/>
                <w:rtl w:val="0"/>
              </w:rPr>
              <w:t xml:space="preserve">16.1%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8D">
            <w:pPr>
              <w:jc w:val="right"/>
              <w:rPr/>
            </w:pPr>
            <w:r w:rsidDel="00000000" w:rsidR="00000000" w:rsidRPr="00000000">
              <w:rPr>
                <w:rFonts w:ascii="Calibri" w:cs="Calibri" w:eastAsia="Calibri" w:hAnsi="Calibri"/>
                <w:sz w:val="19"/>
                <w:szCs w:val="19"/>
                <w:rtl w:val="0"/>
              </w:rPr>
              <w:t xml:space="preserve">47.0%</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sz w:val="19"/>
                <w:szCs w:val="19"/>
                <w:rtl w:val="0"/>
              </w:rPr>
              <w:t xml:space="preserve">Midwest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8F">
            <w:pPr>
              <w:jc w:val="right"/>
              <w:rPr/>
            </w:pPr>
            <w:r w:rsidDel="00000000" w:rsidR="00000000" w:rsidRPr="00000000">
              <w:rPr>
                <w:rFonts w:ascii="Calibri" w:cs="Calibri" w:eastAsia="Calibri" w:hAnsi="Calibri"/>
                <w:sz w:val="19"/>
                <w:szCs w:val="19"/>
                <w:rtl w:val="0"/>
              </w:rPr>
              <w:t xml:space="preserve">135.8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0">
            <w:pPr>
              <w:jc w:val="right"/>
              <w:rPr/>
            </w:pPr>
            <w:r w:rsidDel="00000000" w:rsidR="00000000" w:rsidRPr="00000000">
              <w:rPr>
                <w:rFonts w:ascii="Calibri" w:cs="Calibri" w:eastAsia="Calibri" w:hAnsi="Calibri"/>
                <w:sz w:val="19"/>
                <w:szCs w:val="19"/>
                <w:rtl w:val="0"/>
              </w:rPr>
              <w:t xml:space="preserve">52.8</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1">
            <w:pPr>
              <w:jc w:val="right"/>
              <w:rPr/>
            </w:pPr>
            <w:r w:rsidDel="00000000" w:rsidR="00000000" w:rsidRPr="00000000">
              <w:rPr>
                <w:rFonts w:ascii="Calibri" w:cs="Calibri" w:eastAsia="Calibri" w:hAnsi="Calibri"/>
                <w:sz w:val="19"/>
                <w:szCs w:val="19"/>
                <w:rtl w:val="0"/>
              </w:rPr>
              <w:t xml:space="preserve">15.1%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2">
            <w:pPr>
              <w:jc w:val="right"/>
              <w:rPr/>
            </w:pPr>
            <w:r w:rsidDel="00000000" w:rsidR="00000000" w:rsidRPr="00000000">
              <w:rPr>
                <w:rFonts w:ascii="Calibri" w:cs="Calibri" w:eastAsia="Calibri" w:hAnsi="Calibri"/>
                <w:sz w:val="19"/>
                <w:szCs w:val="19"/>
                <w:rtl w:val="0"/>
              </w:rPr>
              <w:t xml:space="preserve">44.0%</w:t>
            </w:r>
            <w:r w:rsidDel="00000000" w:rsidR="00000000" w:rsidRPr="00000000">
              <w:rPr>
                <w:rtl w:val="0"/>
              </w:rPr>
            </w:r>
          </w:p>
        </w:tc>
      </w:tr>
    </w:tbl>
    <w:p w:rsidR="00000000" w:rsidDel="00000000" w:rsidP="00000000" w:rsidRDefault="00000000" w:rsidRPr="00000000" w14:paraId="00000093">
      <w:pPr>
        <w:spacing w:before="200" w:lineRule="auto"/>
        <w:rPr/>
      </w:pPr>
      <w:r w:rsidDel="00000000" w:rsidR="00000000" w:rsidRPr="00000000">
        <w:rPr>
          <w:rtl w:val="0"/>
        </w:rPr>
      </w:r>
    </w:p>
    <w:p w:rsidR="00000000" w:rsidDel="00000000" w:rsidP="00000000" w:rsidRDefault="00000000" w:rsidRPr="00000000" w14:paraId="00000094">
      <w:pPr>
        <w:spacing w:after="160" w:line="276" w:lineRule="auto"/>
        <w:rPr/>
      </w:pPr>
      <w:r w:rsidDel="00000000" w:rsidR="00000000" w:rsidRPr="00000000">
        <w:rPr>
          <w:rFonts w:ascii="Calibri" w:cs="Calibri" w:eastAsia="Calibri" w:hAnsi="Calibri"/>
          <w:sz w:val="21"/>
          <w:szCs w:val="21"/>
          <w:rtl w:val="0"/>
        </w:rPr>
        <w:t xml:space="preserve">At the state level, New York ($64.2M), California ($60.2M), Florida ($59.3M), and Texas ($46.4M) are the four strongest markets — together representing roughly 25% of total sales. At the other end, Nebraska, Minnesota, Iowa, Wisconsin, and North Dakota each contribute under 1% of sales apiece, pointing to significant white space in the Midwest and parts of the Northern Plains.</w:t>
      </w: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rFonts w:ascii="Calibri" w:cs="Calibri" w:eastAsia="Calibri" w:hAnsi="Calibri"/>
          <w:sz w:val="21"/>
          <w:szCs w:val="21"/>
          <w:rtl w:val="0"/>
        </w:rPr>
        <w:t xml:space="preserve">Interestingly, the South region posts the highest average margin (47%) despite mid-tier volume, suggesting pricing power or lower discounting pressure there relative to the higher-volume West.</w:t>
      </w:r>
      <w:r w:rsidDel="00000000" w:rsidR="00000000" w:rsidRPr="00000000">
        <w:rPr>
          <w:rtl w:val="0"/>
        </w:rPr>
      </w:r>
    </w:p>
    <w:p w:rsidR="00000000" w:rsidDel="00000000" w:rsidP="00000000" w:rsidRDefault="00000000" w:rsidRPr="00000000" w14:paraId="00000096">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5. Sales Channel Effectiveness (In-Store vs. Outlet vs. Online)</w:t>
      </w:r>
      <w:r w:rsidDel="00000000" w:rsidR="00000000" w:rsidRPr="00000000">
        <w:rPr>
          <w:rtl w:val="0"/>
        </w:rPr>
      </w:r>
    </w:p>
    <w:p w:rsidR="00000000" w:rsidDel="00000000" w:rsidP="00000000" w:rsidRDefault="00000000" w:rsidRPr="00000000" w14:paraId="00000097">
      <w:pPr>
        <w:spacing w:after="200" w:lineRule="auto"/>
        <w:jc w:val="center"/>
        <w:rPr/>
      </w:pPr>
      <w:r w:rsidDel="00000000" w:rsidR="00000000" w:rsidRPr="00000000">
        <w:rPr/>
        <w:drawing>
          <wp:inline distB="0" distT="0" distL="0" distR="0">
            <wp:extent cx="5760720" cy="27432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60720" cy="2743200"/>
                    </a:xfrm>
                    <a:prstGeom prst="rect"/>
                    <a:ln/>
                  </pic:spPr>
                </pic:pic>
              </a:graphicData>
            </a:graphic>
          </wp:inline>
        </w:drawing>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500"/>
        <w:gridCol w:w="1500"/>
        <w:gridCol w:w="1400"/>
        <w:gridCol w:w="1600"/>
        <w:gridCol w:w="1400"/>
        <w:tblGridChange w:id="0">
          <w:tblGrid>
            <w:gridCol w:w="1900"/>
            <w:gridCol w:w="1500"/>
            <w:gridCol w:w="1500"/>
            <w:gridCol w:w="1400"/>
            <w:gridCol w:w="1600"/>
            <w:gridCol w:w="1400"/>
          </w:tblGrid>
        </w:tblGridChange>
      </w:tblGrid>
      <w:tr>
        <w:trPr>
          <w:cantSplit w:val="0"/>
          <w:tblHeader w:val="1"/>
        </w:trPr>
        <w:tc>
          <w:tcPr>
            <w:shd w:fill="000000" w:val="clear"/>
            <w:tcMar>
              <w:top w:w="90.0" w:type="dxa"/>
              <w:left w:w="100.0" w:type="dxa"/>
              <w:bottom w:w="9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b w:val="1"/>
                <w:bCs w:val="1"/>
                <w:color w:val="ffffff"/>
                <w:sz w:val="19"/>
                <w:szCs w:val="19"/>
                <w:rtl w:val="0"/>
              </w:rPr>
              <w:t xml:space="preserve">Sales Method</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1"/>
                <w:bCs w:val="1"/>
                <w:color w:val="ffffff"/>
                <w:sz w:val="19"/>
                <w:szCs w:val="19"/>
                <w:rtl w:val="0"/>
              </w:rPr>
              <w:t xml:space="preserve">Sales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19"/>
                <w:szCs w:val="19"/>
                <w:rtl w:val="0"/>
              </w:rPr>
              <w:t xml:space="preserve">Profit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19"/>
                <w:szCs w:val="19"/>
                <w:rtl w:val="0"/>
              </w:rPr>
              <w:t xml:space="preserve">% of Sales</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ffffff"/>
                <w:sz w:val="19"/>
                <w:szCs w:val="19"/>
                <w:rtl w:val="0"/>
              </w:rPr>
              <w:t xml:space="preserve">Units Sold</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ffffff"/>
                <w:sz w:val="19"/>
                <w:szCs w:val="19"/>
                <w:rtl w:val="0"/>
              </w:rPr>
              <w:t xml:space="preserve">Avg Margin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9E">
            <w:pPr>
              <w:jc w:val="left"/>
              <w:rPr/>
            </w:pPr>
            <w:r w:rsidDel="00000000" w:rsidR="00000000" w:rsidRPr="00000000">
              <w:rPr>
                <w:rFonts w:ascii="Calibri" w:cs="Calibri" w:eastAsia="Calibri" w:hAnsi="Calibri"/>
                <w:sz w:val="19"/>
                <w:szCs w:val="19"/>
                <w:rtl w:val="0"/>
              </w:rPr>
              <w:t xml:space="preserve">In-store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9F">
            <w:pPr>
              <w:jc w:val="right"/>
              <w:rPr/>
            </w:pPr>
            <w:r w:rsidDel="00000000" w:rsidR="00000000" w:rsidRPr="00000000">
              <w:rPr>
                <w:rFonts w:ascii="Calibri" w:cs="Calibri" w:eastAsia="Calibri" w:hAnsi="Calibri"/>
                <w:sz w:val="19"/>
                <w:szCs w:val="19"/>
                <w:rtl w:val="0"/>
              </w:rPr>
              <w:t xml:space="preserve">356.6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0">
            <w:pPr>
              <w:jc w:val="right"/>
              <w:rPr/>
            </w:pPr>
            <w:r w:rsidDel="00000000" w:rsidR="00000000" w:rsidRPr="00000000">
              <w:rPr>
                <w:rFonts w:ascii="Calibri" w:cs="Calibri" w:eastAsia="Calibri" w:hAnsi="Calibri"/>
                <w:sz w:val="19"/>
                <w:szCs w:val="19"/>
                <w:rtl w:val="0"/>
              </w:rPr>
              <w:t xml:space="preserve">127.6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1">
            <w:pPr>
              <w:jc w:val="right"/>
              <w:rPr/>
            </w:pPr>
            <w:r w:rsidDel="00000000" w:rsidR="00000000" w:rsidRPr="00000000">
              <w:rPr>
                <w:rFonts w:ascii="Calibri" w:cs="Calibri" w:eastAsia="Calibri" w:hAnsi="Calibri"/>
                <w:sz w:val="19"/>
                <w:szCs w:val="19"/>
                <w:rtl w:val="0"/>
              </w:rPr>
              <w:t xml:space="preserve">39.6%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2">
            <w:pPr>
              <w:jc w:val="right"/>
              <w:rPr/>
            </w:pPr>
            <w:r w:rsidDel="00000000" w:rsidR="00000000" w:rsidRPr="00000000">
              <w:rPr>
                <w:rFonts w:ascii="Calibri" w:cs="Calibri" w:eastAsia="Calibri" w:hAnsi="Calibri"/>
                <w:sz w:val="19"/>
                <w:szCs w:val="19"/>
                <w:rtl w:val="0"/>
              </w:rPr>
              <w:t xml:space="preserve">689,990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3">
            <w:pPr>
              <w:jc w:val="right"/>
              <w:rPr/>
            </w:pPr>
            <w:r w:rsidDel="00000000" w:rsidR="00000000" w:rsidRPr="00000000">
              <w:rPr>
                <w:rFonts w:ascii="Calibri" w:cs="Calibri" w:eastAsia="Calibri" w:hAnsi="Calibri"/>
                <w:sz w:val="19"/>
                <w:szCs w:val="19"/>
                <w:rtl w:val="0"/>
              </w:rPr>
              <w:t xml:space="preserve">36%</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A4">
            <w:pPr>
              <w:jc w:val="left"/>
              <w:rPr/>
            </w:pPr>
            <w:r w:rsidDel="00000000" w:rsidR="00000000" w:rsidRPr="00000000">
              <w:rPr>
                <w:rFonts w:ascii="Calibri" w:cs="Calibri" w:eastAsia="Calibri" w:hAnsi="Calibri"/>
                <w:sz w:val="19"/>
                <w:szCs w:val="19"/>
                <w:rtl w:val="0"/>
              </w:rPr>
              <w:t xml:space="preserve">Outlet</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5">
            <w:pPr>
              <w:jc w:val="right"/>
              <w:rPr/>
            </w:pPr>
            <w:r w:rsidDel="00000000" w:rsidR="00000000" w:rsidRPr="00000000">
              <w:rPr>
                <w:rFonts w:ascii="Calibri" w:cs="Calibri" w:eastAsia="Calibri" w:hAnsi="Calibri"/>
                <w:sz w:val="19"/>
                <w:szCs w:val="19"/>
                <w:rtl w:val="0"/>
              </w:rPr>
              <w:t xml:space="preserve">295.6</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6">
            <w:pPr>
              <w:jc w:val="right"/>
              <w:rPr/>
            </w:pPr>
            <w:r w:rsidDel="00000000" w:rsidR="00000000" w:rsidRPr="00000000">
              <w:rPr>
                <w:rFonts w:ascii="Calibri" w:cs="Calibri" w:eastAsia="Calibri" w:hAnsi="Calibri"/>
                <w:sz w:val="19"/>
                <w:szCs w:val="19"/>
                <w:rtl w:val="0"/>
              </w:rPr>
              <w:t xml:space="preserve">108.0</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7">
            <w:pPr>
              <w:jc w:val="right"/>
              <w:rPr/>
            </w:pPr>
            <w:r w:rsidDel="00000000" w:rsidR="00000000" w:rsidRPr="00000000">
              <w:rPr>
                <w:rFonts w:ascii="Calibri" w:cs="Calibri" w:eastAsia="Calibri" w:hAnsi="Calibri"/>
                <w:sz w:val="19"/>
                <w:szCs w:val="19"/>
                <w:rtl w:val="0"/>
              </w:rPr>
              <w:t xml:space="preserve">32.8%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8">
            <w:pPr>
              <w:jc w:val="right"/>
              <w:rPr/>
            </w:pPr>
            <w:r w:rsidDel="00000000" w:rsidR="00000000" w:rsidRPr="00000000">
              <w:rPr>
                <w:rFonts w:ascii="Calibri" w:cs="Calibri" w:eastAsia="Calibri" w:hAnsi="Calibri"/>
                <w:sz w:val="19"/>
                <w:szCs w:val="19"/>
                <w:rtl w:val="0"/>
              </w:rPr>
              <w:t xml:space="preserve">849,778</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A9">
            <w:pPr>
              <w:jc w:val="right"/>
              <w:rPr/>
            </w:pPr>
            <w:r w:rsidDel="00000000" w:rsidR="00000000" w:rsidRPr="00000000">
              <w:rPr>
                <w:rFonts w:ascii="Calibri" w:cs="Calibri" w:eastAsia="Calibri" w:hAnsi="Calibri"/>
                <w:sz w:val="19"/>
                <w:szCs w:val="19"/>
                <w:rtl w:val="0"/>
              </w:rPr>
              <w:t xml:space="preserve">39%</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sz w:val="19"/>
                <w:szCs w:val="19"/>
                <w:rtl w:val="0"/>
              </w:rPr>
              <w:t xml:space="preserve">Online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B">
            <w:pPr>
              <w:jc w:val="right"/>
              <w:rPr/>
            </w:pPr>
            <w:r w:rsidDel="00000000" w:rsidR="00000000" w:rsidRPr="00000000">
              <w:rPr>
                <w:rFonts w:ascii="Calibri" w:cs="Calibri" w:eastAsia="Calibri" w:hAnsi="Calibri"/>
                <w:sz w:val="19"/>
                <w:szCs w:val="19"/>
                <w:rtl w:val="0"/>
              </w:rPr>
              <w:t xml:space="preserve">247.7</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C">
            <w:pPr>
              <w:jc w:val="right"/>
              <w:rPr/>
            </w:pPr>
            <w:r w:rsidDel="00000000" w:rsidR="00000000" w:rsidRPr="00000000">
              <w:rPr>
                <w:rFonts w:ascii="Calibri" w:cs="Calibri" w:eastAsia="Calibri" w:hAnsi="Calibri"/>
                <w:sz w:val="19"/>
                <w:szCs w:val="19"/>
                <w:rtl w:val="0"/>
              </w:rPr>
              <w:t xml:space="preserve">96.6</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D">
            <w:pPr>
              <w:jc w:val="right"/>
              <w:rPr/>
            </w:pPr>
            <w:r w:rsidDel="00000000" w:rsidR="00000000" w:rsidRPr="00000000">
              <w:rPr>
                <w:rFonts w:ascii="Calibri" w:cs="Calibri" w:eastAsia="Calibri" w:hAnsi="Calibri"/>
                <w:sz w:val="19"/>
                <w:szCs w:val="19"/>
                <w:rtl w:val="0"/>
              </w:rPr>
              <w:t xml:space="preserve">27.5%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E">
            <w:pPr>
              <w:jc w:val="right"/>
              <w:rPr/>
            </w:pPr>
            <w:r w:rsidDel="00000000" w:rsidR="00000000" w:rsidRPr="00000000">
              <w:rPr>
                <w:rFonts w:ascii="Calibri" w:cs="Calibri" w:eastAsia="Calibri" w:hAnsi="Calibri"/>
                <w:sz w:val="19"/>
                <w:szCs w:val="19"/>
                <w:rtl w:val="0"/>
              </w:rPr>
              <w:t xml:space="preserve">939,093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F">
            <w:pPr>
              <w:jc w:val="right"/>
              <w:rPr/>
            </w:pPr>
            <w:r w:rsidDel="00000000" w:rsidR="00000000" w:rsidRPr="00000000">
              <w:rPr>
                <w:rFonts w:ascii="Calibri" w:cs="Calibri" w:eastAsia="Calibri" w:hAnsi="Calibri"/>
                <w:sz w:val="19"/>
                <w:szCs w:val="19"/>
                <w:rtl w:val="0"/>
              </w:rPr>
              <w:t xml:space="preserve">46%</w:t>
            </w:r>
            <w:r w:rsidDel="00000000" w:rsidR="00000000" w:rsidRPr="00000000">
              <w:rPr>
                <w:rtl w:val="0"/>
              </w:rPr>
            </w:r>
          </w:p>
        </w:tc>
      </w:tr>
    </w:tbl>
    <w:p w:rsidR="00000000" w:rsidDel="00000000" w:rsidP="00000000" w:rsidRDefault="00000000" w:rsidRPr="00000000" w14:paraId="000000B0">
      <w:pPr>
        <w:spacing w:before="200" w:lineRule="auto"/>
        <w:rPr/>
      </w:pP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Calibri" w:cs="Calibri" w:eastAsia="Calibri" w:hAnsi="Calibri"/>
          <w:sz w:val="21"/>
          <w:szCs w:val="21"/>
          <w:rtl w:val="0"/>
        </w:rPr>
        <w:t xml:space="preserve">This is one of the most strategically important findings in the dataset: Online generates the fewest sales dollars but the most units sold and by far the best margin (46% vs. 36% for in-store). This typically reflects lower fulfillment/overhead cost structure and less markdown pressure online. In-store still leads on revenue today, largely on the back of West Gear's heavy in-store footprint, but channel economics clearly favor continued investment in e-commerce and digital partnerships.</w:t>
      </w:r>
      <w:r w:rsidDel="00000000" w:rsidR="00000000" w:rsidRPr="00000000">
        <w:rPr>
          <w:rtl w:val="0"/>
        </w:rPr>
      </w:r>
    </w:p>
    <w:p w:rsidR="00000000" w:rsidDel="00000000" w:rsidP="00000000" w:rsidRDefault="00000000" w:rsidRPr="00000000" w14:paraId="000000B2">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6. Time-Based Trends (Monthly, Quarterly, Seasonal)</w:t>
      </w:r>
      <w:r w:rsidDel="00000000" w:rsidR="00000000" w:rsidRPr="00000000">
        <w:rPr>
          <w:rtl w:val="0"/>
        </w:rPr>
      </w:r>
    </w:p>
    <w:tbl>
      <w:tblPr>
        <w:tblStyle w:val="Table6"/>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tblGridChange w:id="0">
          <w:tblGrid>
            <w:gridCol w:w="2000"/>
            <w:gridCol w:w="2000"/>
            <w:gridCol w:w="2000"/>
          </w:tblGrid>
        </w:tblGridChange>
      </w:tblGrid>
      <w:tr>
        <w:trPr>
          <w:cantSplit w:val="0"/>
          <w:tblHeader w:val="1"/>
        </w:trPr>
        <w:tc>
          <w:tcPr>
            <w:shd w:fill="000000" w:val="clear"/>
            <w:tcMar>
              <w:top w:w="90.0" w:type="dxa"/>
              <w:left w:w="100.0" w:type="dxa"/>
              <w:bottom w:w="90.0" w:type="dxa"/>
              <w:right w:w="100.0" w:type="dxa"/>
            </w:tcMar>
          </w:tcPr>
          <w:p w:rsidR="00000000" w:rsidDel="00000000" w:rsidP="00000000" w:rsidRDefault="00000000" w:rsidRPr="00000000" w14:paraId="000000B3">
            <w:pPr>
              <w:rPr/>
            </w:pPr>
            <w:r w:rsidDel="00000000" w:rsidR="00000000" w:rsidRPr="00000000">
              <w:rPr>
                <w:rFonts w:ascii="Calibri" w:cs="Calibri" w:eastAsia="Calibri" w:hAnsi="Calibri"/>
                <w:b w:val="1"/>
                <w:bCs w:val="1"/>
                <w:color w:val="ffffff"/>
                <w:sz w:val="19"/>
                <w:szCs w:val="19"/>
                <w:rtl w:val="0"/>
              </w:rPr>
              <w:t xml:space="preserve">Quarter</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ffffff"/>
                <w:sz w:val="19"/>
                <w:szCs w:val="19"/>
                <w:rtl w:val="0"/>
              </w:rPr>
              <w:t xml:space="preserve">Sales ($M)</w:t>
            </w:r>
            <w:r w:rsidDel="00000000" w:rsidR="00000000" w:rsidRPr="00000000">
              <w:rPr>
                <w:rtl w:val="0"/>
              </w:rPr>
            </w:r>
          </w:p>
        </w:tc>
        <w:tc>
          <w:tcPr>
            <w:shd w:fill="000000" w:val="clear"/>
            <w:tcMar>
              <w:top w:w="90.0" w:type="dxa"/>
              <w:left w:w="100.0" w:type="dxa"/>
              <w:bottom w:w="90.0" w:type="dxa"/>
              <w:right w:w="100.0" w:type="dxa"/>
            </w:tcMar>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ffffff"/>
                <w:sz w:val="19"/>
                <w:szCs w:val="19"/>
                <w:rtl w:val="0"/>
              </w:rPr>
              <w:t xml:space="preserve">Profit ($M)</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6">
            <w:pPr>
              <w:jc w:val="left"/>
              <w:rPr/>
            </w:pPr>
            <w:r w:rsidDel="00000000" w:rsidR="00000000" w:rsidRPr="00000000">
              <w:rPr>
                <w:rFonts w:ascii="Calibri" w:cs="Calibri" w:eastAsia="Calibri" w:hAnsi="Calibri"/>
                <w:sz w:val="19"/>
                <w:szCs w:val="19"/>
                <w:rtl w:val="0"/>
              </w:rPr>
              <w:t xml:space="preserve">2020 Q1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7">
            <w:pPr>
              <w:jc w:val="right"/>
              <w:rPr/>
            </w:pPr>
            <w:r w:rsidDel="00000000" w:rsidR="00000000" w:rsidRPr="00000000">
              <w:rPr>
                <w:rFonts w:ascii="Calibri" w:cs="Calibri" w:eastAsia="Calibri" w:hAnsi="Calibri"/>
                <w:sz w:val="19"/>
                <w:szCs w:val="19"/>
                <w:rtl w:val="0"/>
              </w:rPr>
              <w:t xml:space="preserve">48.9</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8">
            <w:pPr>
              <w:jc w:val="right"/>
              <w:rPr/>
            </w:pPr>
            <w:r w:rsidDel="00000000" w:rsidR="00000000" w:rsidRPr="00000000">
              <w:rPr>
                <w:rFonts w:ascii="Calibri" w:cs="Calibri" w:eastAsia="Calibri" w:hAnsi="Calibri"/>
                <w:sz w:val="19"/>
                <w:szCs w:val="19"/>
                <w:rtl w:val="0"/>
              </w:rPr>
              <w:t xml:space="preserve">16.9</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B9">
            <w:pPr>
              <w:jc w:val="left"/>
              <w:rPr/>
            </w:pPr>
            <w:r w:rsidDel="00000000" w:rsidR="00000000" w:rsidRPr="00000000">
              <w:rPr>
                <w:rFonts w:ascii="Calibri" w:cs="Calibri" w:eastAsia="Calibri" w:hAnsi="Calibri"/>
                <w:sz w:val="19"/>
                <w:szCs w:val="19"/>
                <w:rtl w:val="0"/>
              </w:rPr>
              <w:t xml:space="preserve">2020 Q2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A">
            <w:pPr>
              <w:jc w:val="right"/>
              <w:rPr/>
            </w:pPr>
            <w:r w:rsidDel="00000000" w:rsidR="00000000" w:rsidRPr="00000000">
              <w:rPr>
                <w:rFonts w:ascii="Calibri" w:cs="Calibri" w:eastAsia="Calibri" w:hAnsi="Calibri"/>
                <w:sz w:val="19"/>
                <w:szCs w:val="19"/>
                <w:rtl w:val="0"/>
              </w:rPr>
              <w:t xml:space="preserve">50.4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BB">
            <w:pPr>
              <w:jc w:val="right"/>
              <w:rPr/>
            </w:pPr>
            <w:r w:rsidDel="00000000" w:rsidR="00000000" w:rsidRPr="00000000">
              <w:rPr>
                <w:rFonts w:ascii="Calibri" w:cs="Calibri" w:eastAsia="Calibri" w:hAnsi="Calibri"/>
                <w:sz w:val="19"/>
                <w:szCs w:val="19"/>
                <w:rtl w:val="0"/>
              </w:rPr>
              <w:t xml:space="preserve">17.5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BC">
            <w:pPr>
              <w:jc w:val="left"/>
              <w:rPr/>
            </w:pPr>
            <w:r w:rsidDel="00000000" w:rsidR="00000000" w:rsidRPr="00000000">
              <w:rPr>
                <w:rFonts w:ascii="Calibri" w:cs="Calibri" w:eastAsia="Calibri" w:hAnsi="Calibri"/>
                <w:sz w:val="19"/>
                <w:szCs w:val="19"/>
                <w:rtl w:val="0"/>
              </w:rPr>
              <w:t xml:space="preserve">2020 Q3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D">
            <w:pPr>
              <w:jc w:val="right"/>
              <w:rPr/>
            </w:pPr>
            <w:r w:rsidDel="00000000" w:rsidR="00000000" w:rsidRPr="00000000">
              <w:rPr>
                <w:rFonts w:ascii="Calibri" w:cs="Calibri" w:eastAsia="Calibri" w:hAnsi="Calibri"/>
                <w:sz w:val="19"/>
                <w:szCs w:val="19"/>
                <w:rtl w:val="0"/>
              </w:rPr>
              <w:t xml:space="preserve">55.3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E">
            <w:pPr>
              <w:jc w:val="right"/>
              <w:rPr/>
            </w:pPr>
            <w:r w:rsidDel="00000000" w:rsidR="00000000" w:rsidRPr="00000000">
              <w:rPr>
                <w:rFonts w:ascii="Calibri" w:cs="Calibri" w:eastAsia="Calibri" w:hAnsi="Calibri"/>
                <w:sz w:val="19"/>
                <w:szCs w:val="19"/>
                <w:rtl w:val="0"/>
              </w:rPr>
              <w:t xml:space="preserve">19.4</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BF">
            <w:pPr>
              <w:jc w:val="left"/>
              <w:rPr/>
            </w:pPr>
            <w:r w:rsidDel="00000000" w:rsidR="00000000" w:rsidRPr="00000000">
              <w:rPr>
                <w:rFonts w:ascii="Calibri" w:cs="Calibri" w:eastAsia="Calibri" w:hAnsi="Calibri"/>
                <w:sz w:val="19"/>
                <w:szCs w:val="19"/>
                <w:rtl w:val="0"/>
              </w:rPr>
              <w:t xml:space="preserve">2020 Q4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0">
            <w:pPr>
              <w:jc w:val="right"/>
              <w:rPr/>
            </w:pPr>
            <w:r w:rsidDel="00000000" w:rsidR="00000000" w:rsidRPr="00000000">
              <w:rPr>
                <w:rFonts w:ascii="Calibri" w:cs="Calibri" w:eastAsia="Calibri" w:hAnsi="Calibri"/>
                <w:sz w:val="19"/>
                <w:szCs w:val="19"/>
                <w:rtl w:val="0"/>
              </w:rPr>
              <w:t xml:space="preserve">27.5</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1">
            <w:pPr>
              <w:jc w:val="right"/>
              <w:rPr/>
            </w:pPr>
            <w:r w:rsidDel="00000000" w:rsidR="00000000" w:rsidRPr="00000000">
              <w:rPr>
                <w:rFonts w:ascii="Calibri" w:cs="Calibri" w:eastAsia="Calibri" w:hAnsi="Calibri"/>
                <w:sz w:val="19"/>
                <w:szCs w:val="19"/>
                <w:rtl w:val="0"/>
              </w:rPr>
              <w:t xml:space="preserve">9.6</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2">
            <w:pPr>
              <w:jc w:val="left"/>
              <w:rPr/>
            </w:pPr>
            <w:r w:rsidDel="00000000" w:rsidR="00000000" w:rsidRPr="00000000">
              <w:rPr>
                <w:rFonts w:ascii="Calibri" w:cs="Calibri" w:eastAsia="Calibri" w:hAnsi="Calibri"/>
                <w:sz w:val="19"/>
                <w:szCs w:val="19"/>
                <w:rtl w:val="0"/>
              </w:rPr>
              <w:t xml:space="preserve">2021 Q1</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3">
            <w:pPr>
              <w:jc w:val="right"/>
              <w:rPr/>
            </w:pPr>
            <w:r w:rsidDel="00000000" w:rsidR="00000000" w:rsidRPr="00000000">
              <w:rPr>
                <w:rFonts w:ascii="Calibri" w:cs="Calibri" w:eastAsia="Calibri" w:hAnsi="Calibri"/>
                <w:sz w:val="19"/>
                <w:szCs w:val="19"/>
                <w:rtl w:val="0"/>
              </w:rPr>
              <w:t xml:space="preserve">140.5</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4">
            <w:pPr>
              <w:jc w:val="right"/>
              <w:rPr/>
            </w:pPr>
            <w:r w:rsidDel="00000000" w:rsidR="00000000" w:rsidRPr="00000000">
              <w:rPr>
                <w:rFonts w:ascii="Calibri" w:cs="Calibri" w:eastAsia="Calibri" w:hAnsi="Calibri"/>
                <w:sz w:val="19"/>
                <w:szCs w:val="19"/>
                <w:rtl w:val="0"/>
              </w:rPr>
              <w:t xml:space="preserve">50.1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C5">
            <w:pPr>
              <w:jc w:val="left"/>
              <w:rPr/>
            </w:pPr>
            <w:r w:rsidDel="00000000" w:rsidR="00000000" w:rsidRPr="00000000">
              <w:rPr>
                <w:rFonts w:ascii="Calibri" w:cs="Calibri" w:eastAsia="Calibri" w:hAnsi="Calibri"/>
                <w:sz w:val="19"/>
                <w:szCs w:val="19"/>
                <w:rtl w:val="0"/>
              </w:rPr>
              <w:t xml:space="preserve">2021 Q2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6">
            <w:pPr>
              <w:jc w:val="right"/>
              <w:rPr/>
            </w:pPr>
            <w:r w:rsidDel="00000000" w:rsidR="00000000" w:rsidRPr="00000000">
              <w:rPr>
                <w:rFonts w:ascii="Calibri" w:cs="Calibri" w:eastAsia="Calibri" w:hAnsi="Calibri"/>
                <w:sz w:val="19"/>
                <w:szCs w:val="19"/>
                <w:rtl w:val="0"/>
              </w:rPr>
              <w:t xml:space="preserve">177.2</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7">
            <w:pPr>
              <w:jc w:val="right"/>
              <w:rPr/>
            </w:pPr>
            <w:r w:rsidDel="00000000" w:rsidR="00000000" w:rsidRPr="00000000">
              <w:rPr>
                <w:rFonts w:ascii="Calibri" w:cs="Calibri" w:eastAsia="Calibri" w:hAnsi="Calibri"/>
                <w:sz w:val="19"/>
                <w:szCs w:val="19"/>
                <w:rtl w:val="0"/>
              </w:rPr>
              <w:t xml:space="preserve">66.8</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C8">
            <w:pPr>
              <w:jc w:val="left"/>
              <w:rPr/>
            </w:pPr>
            <w:r w:rsidDel="00000000" w:rsidR="00000000" w:rsidRPr="00000000">
              <w:rPr>
                <w:rFonts w:ascii="Calibri" w:cs="Calibri" w:eastAsia="Calibri" w:hAnsi="Calibri"/>
                <w:sz w:val="19"/>
                <w:szCs w:val="19"/>
                <w:rtl w:val="0"/>
              </w:rPr>
              <w:t xml:space="preserve">2021 Q3</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9">
            <w:pPr>
              <w:jc w:val="right"/>
              <w:rPr/>
            </w:pPr>
            <w:r w:rsidDel="00000000" w:rsidR="00000000" w:rsidRPr="00000000">
              <w:rPr>
                <w:rFonts w:ascii="Calibri" w:cs="Calibri" w:eastAsia="Calibri" w:hAnsi="Calibri"/>
                <w:sz w:val="19"/>
                <w:szCs w:val="19"/>
                <w:rtl w:val="0"/>
              </w:rPr>
              <w:t xml:space="preserve">210.0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CA">
            <w:pPr>
              <w:jc w:val="right"/>
              <w:rPr/>
            </w:pPr>
            <w:r w:rsidDel="00000000" w:rsidR="00000000" w:rsidRPr="00000000">
              <w:rPr>
                <w:rFonts w:ascii="Calibri" w:cs="Calibri" w:eastAsia="Calibri" w:hAnsi="Calibri"/>
                <w:sz w:val="19"/>
                <w:szCs w:val="19"/>
                <w:rtl w:val="0"/>
              </w:rPr>
              <w:t xml:space="preserve">80.1</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tcPr>
          <w:p w:rsidR="00000000" w:rsidDel="00000000" w:rsidP="00000000" w:rsidRDefault="00000000" w:rsidRPr="00000000" w14:paraId="000000CB">
            <w:pPr>
              <w:jc w:val="left"/>
              <w:rPr/>
            </w:pPr>
            <w:r w:rsidDel="00000000" w:rsidR="00000000" w:rsidRPr="00000000">
              <w:rPr>
                <w:rFonts w:ascii="Calibri" w:cs="Calibri" w:eastAsia="Calibri" w:hAnsi="Calibri"/>
                <w:sz w:val="19"/>
                <w:szCs w:val="19"/>
                <w:rtl w:val="0"/>
              </w:rPr>
              <w:t xml:space="preserve">2021 Q4</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C">
            <w:pPr>
              <w:jc w:val="right"/>
              <w:rPr/>
            </w:pPr>
            <w:r w:rsidDel="00000000" w:rsidR="00000000" w:rsidRPr="00000000">
              <w:rPr>
                <w:rFonts w:ascii="Calibri" w:cs="Calibri" w:eastAsia="Calibri" w:hAnsi="Calibri"/>
                <w:sz w:val="19"/>
                <w:szCs w:val="19"/>
                <w:rtl w:val="0"/>
              </w:rPr>
              <w:t xml:space="preserve">190.1</w:t>
            </w:r>
            <w:r w:rsidDel="00000000" w:rsidR="00000000" w:rsidRPr="00000000">
              <w:rPr>
                <w:rtl w:val="0"/>
              </w:rPr>
            </w:r>
          </w:p>
        </w:tc>
        <w:tc>
          <w:tcPr>
            <w:shd w:fill="f2f2f2" w:val="clear"/>
            <w:tcMar>
              <w:top w:w="80.0" w:type="dxa"/>
              <w:left w:w="100.0" w:type="dxa"/>
              <w:bottom w:w="80.0" w:type="dxa"/>
              <w:right w:w="100.0" w:type="dxa"/>
            </w:tcMar>
          </w:tcPr>
          <w:p w:rsidR="00000000" w:rsidDel="00000000" w:rsidP="00000000" w:rsidRDefault="00000000" w:rsidRPr="00000000" w14:paraId="000000CD">
            <w:pPr>
              <w:jc w:val="right"/>
              <w:rPr/>
            </w:pPr>
            <w:r w:rsidDel="00000000" w:rsidR="00000000" w:rsidRPr="00000000">
              <w:rPr>
                <w:rFonts w:ascii="Calibri" w:cs="Calibri" w:eastAsia="Calibri" w:hAnsi="Calibri"/>
                <w:sz w:val="19"/>
                <w:szCs w:val="19"/>
                <w:rtl w:val="0"/>
              </w:rPr>
              <w:t xml:space="preserve">71.8</w:t>
            </w:r>
            <w:r w:rsidDel="00000000" w:rsidR="00000000" w:rsidRPr="00000000">
              <w:rPr>
                <w:rtl w:val="0"/>
              </w:rPr>
            </w:r>
          </w:p>
        </w:tc>
      </w:tr>
    </w:tbl>
    <w:p w:rsidR="00000000" w:rsidDel="00000000" w:rsidP="00000000" w:rsidRDefault="00000000" w:rsidRPr="00000000" w14:paraId="000000CE">
      <w:pPr>
        <w:spacing w:before="200" w:lineRule="auto"/>
        <w:rPr/>
      </w:pPr>
      <w:r w:rsidDel="00000000" w:rsidR="00000000" w:rsidRPr="00000000">
        <w:rPr>
          <w:rtl w:val="0"/>
        </w:rPr>
      </w:r>
    </w:p>
    <w:p w:rsidR="00000000" w:rsidDel="00000000" w:rsidP="00000000" w:rsidRDefault="00000000" w:rsidRPr="00000000" w14:paraId="000000CF">
      <w:pPr>
        <w:spacing w:after="160" w:line="276" w:lineRule="auto"/>
        <w:rPr/>
      </w:pPr>
      <w:r w:rsidDel="00000000" w:rsidR="00000000" w:rsidRPr="00000000">
        <w:rPr>
          <w:rFonts w:ascii="Calibri" w:cs="Calibri" w:eastAsia="Calibri" w:hAnsi="Calibri"/>
          <w:sz w:val="21"/>
          <w:szCs w:val="21"/>
          <w:rtl w:val="0"/>
        </w:rPr>
        <w:t xml:space="preserve">Every 2021 quarter outperformed its 2020 counterpart by wide margins, with growth accelerating through the year before a slight Q4 dip (-9.5% vs Q3) — plausibly a seasonal pattern worth validating against holiday promotional calendars and inventory timing in future years. Q3 (summer/back-to-school) is the strongest seasonal window, suggesting inventory and marketing spend should be pre-positioned by Q2.</w:t>
      </w:r>
      <w:r w:rsidDel="00000000" w:rsidR="00000000" w:rsidRPr="00000000">
        <w:rPr>
          <w:rtl w:val="0"/>
        </w:rPr>
      </w:r>
    </w:p>
    <w:p w:rsidR="00000000" w:rsidDel="00000000" w:rsidP="00000000" w:rsidRDefault="00000000" w:rsidRPr="00000000" w14:paraId="000000D0">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Strategic Recommendations</w:t>
      </w:r>
      <w:r w:rsidDel="00000000" w:rsidR="00000000" w:rsidRPr="00000000">
        <w:rPr>
          <w:rtl w:val="0"/>
        </w:rPr>
      </w:r>
    </w:p>
    <w:p w:rsidR="00000000" w:rsidDel="00000000" w:rsidP="00000000" w:rsidRDefault="00000000" w:rsidRPr="00000000" w14:paraId="000000D1">
      <w:pPr>
        <w:spacing w:after="160" w:line="276" w:lineRule="auto"/>
        <w:rPr/>
      </w:pPr>
      <w:r w:rsidDel="00000000" w:rsidR="00000000" w:rsidRPr="00000000">
        <w:rPr>
          <w:rFonts w:ascii="Calibri" w:cs="Calibri" w:eastAsia="Calibri" w:hAnsi="Calibri"/>
          <w:sz w:val="21"/>
          <w:szCs w:val="21"/>
          <w:rtl w:val="0"/>
        </w:rPr>
        <w:t xml:space="preserve">Based on the findings above, the following actions are recommended across five strategic areas.</w:t>
      </w:r>
      <w:r w:rsidDel="00000000" w:rsidR="00000000" w:rsidRPr="00000000">
        <w:rPr>
          <w:rtl w:val="0"/>
        </w:rPr>
      </w:r>
    </w:p>
    <w:p w:rsidR="00000000" w:rsidDel="00000000" w:rsidP="00000000" w:rsidRDefault="00000000" w:rsidRPr="00000000" w14:paraId="000000D2">
      <w:pPr>
        <w:pStyle w:val="Heading2"/>
        <w:spacing w:after="140" w:before="280" w:lineRule="auto"/>
        <w:rPr/>
      </w:pPr>
      <w:r w:rsidDel="00000000" w:rsidR="00000000" w:rsidRPr="00000000">
        <w:rPr>
          <w:rFonts w:ascii="Calibri" w:cs="Calibri" w:eastAsia="Calibri" w:hAnsi="Calibri"/>
          <w:b w:val="1"/>
          <w:bCs w:val="1"/>
          <w:color w:val="0075c9"/>
          <w:sz w:val="24"/>
          <w:szCs w:val="24"/>
          <w:rtl w:val="0"/>
        </w:rPr>
        <w:t xml:space="preserve">1. Product Strategy</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Double down on footwear leadership: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Men's Street Footwear is the highest-revenue, highest-margin category. Prioritize new releases, colorways, and marketing spend here, and apply learnings from its pricing/margin discipline to other lines.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Elevate Women's Apparel: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Already the #2 category by revenue with strong margin (44.1%); increase assortment depth and cross-merchandising with Women's Footwear to lift basket size.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Investigate Athletic Footwear's margin gap: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men's and women's Athletic Footwear post the lowest margins in their gender group. Review input costs, discounting frequency, and competitive pricing pressure in the performance category.</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Lean into the street/lifestyle trend: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Faster growth in street footwear versus athletic footwear (352% vs 283% for men's) suggests a broader consumer shift toward lifestyle product — a signal for future product development roadmaps.</w:t>
      </w:r>
      <w:r w:rsidDel="00000000" w:rsidR="00000000" w:rsidRPr="00000000">
        <w:rPr>
          <w:rtl w:val="0"/>
        </w:rPr>
      </w:r>
    </w:p>
    <w:p w:rsidR="00000000" w:rsidDel="00000000" w:rsidP="00000000" w:rsidRDefault="00000000" w:rsidRPr="00000000" w14:paraId="000000D7">
      <w:pPr>
        <w:pStyle w:val="Heading2"/>
        <w:spacing w:after="140" w:before="280" w:lineRule="auto"/>
        <w:rPr/>
      </w:pPr>
      <w:r w:rsidDel="00000000" w:rsidR="00000000" w:rsidRPr="00000000">
        <w:rPr>
          <w:rFonts w:ascii="Calibri" w:cs="Calibri" w:eastAsia="Calibri" w:hAnsi="Calibri"/>
          <w:b w:val="1"/>
          <w:bCs w:val="1"/>
          <w:color w:val="0075c9"/>
          <w:sz w:val="24"/>
          <w:szCs w:val="24"/>
          <w:rtl w:val="0"/>
        </w:rPr>
        <w:t xml:space="preserve">2. Channel Optimization</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Accelerate investment in Online: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Highest margin (46%) and highest unit volume of any channel, despite lowest total revenue. Fund digital marketing, D2C site experience, and expand online-exclusive drops to capture disproportionate profit growth.</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Protect Outlet as a margin-healthy volume driver: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Outlet already delivers strong unit velocity (849,778 units) at a solid 39% margin — a good channel for inventory clearance without materially eroding profitability.</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Right-size in-store dependency: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In-store leads on revenue but trails on margin. Work with West Gear specifically (64% in-store mix) on a phased omnichannel strategy — e.g., ship-from-store, in-store digital kiosks — to blend the reach of physical retail with online-level margins.</w:t>
      </w:r>
      <w:r w:rsidDel="00000000" w:rsidR="00000000" w:rsidRPr="00000000">
        <w:rPr>
          <w:rtl w:val="0"/>
        </w:rPr>
      </w:r>
    </w:p>
    <w:p w:rsidR="00000000" w:rsidDel="00000000" w:rsidP="00000000" w:rsidRDefault="00000000" w:rsidRPr="00000000" w14:paraId="000000DB">
      <w:pPr>
        <w:pStyle w:val="Heading2"/>
        <w:spacing w:after="140" w:before="280" w:lineRule="auto"/>
        <w:rPr/>
      </w:pPr>
      <w:r w:rsidDel="00000000" w:rsidR="00000000" w:rsidRPr="00000000">
        <w:rPr>
          <w:rFonts w:ascii="Calibri" w:cs="Calibri" w:eastAsia="Calibri" w:hAnsi="Calibri"/>
          <w:b w:val="1"/>
          <w:bCs w:val="1"/>
          <w:color w:val="0075c9"/>
          <w:sz w:val="24"/>
          <w:szCs w:val="24"/>
          <w:rtl w:val="0"/>
        </w:rPr>
        <w:t xml:space="preserve">3. Regional Focus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Defend and grow the West: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Already the top region (30% of sales); ensure inventory allocation and marketing spend keep pace with demand to avoid stockouts in peak quarters.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Close the Midwest gap: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Lowest-performing region (15.1% of sales) with several bottom-10 states (Nebraska, Minnesota, Iowa, Wisconsin, North Dakota). Pilot targeted regional marketing, retailer floor-space negotiations, or localized promotions before assuming the region has structurally lower demand.</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Replicate South's margin discipline: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South posts the highest regional margin (47%) at moderate volume — study its pricing/promotion mix and test applying it in the West and Northeast, where volume is high but margin is average.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Prioritize the top-4 states for flagship activations: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York, California, Florida, and Texas drive ~25% of total sales; these are natural markets for flagship stores, influencer campaigns, and premium product launches.</w:t>
      </w:r>
      <w:r w:rsidDel="00000000" w:rsidR="00000000" w:rsidRPr="00000000">
        <w:rPr>
          <w:rtl w:val="0"/>
        </w:rPr>
      </w:r>
    </w:p>
    <w:p w:rsidR="00000000" w:rsidDel="00000000" w:rsidP="00000000" w:rsidRDefault="00000000" w:rsidRPr="00000000" w14:paraId="000000E0">
      <w:pPr>
        <w:pStyle w:val="Heading2"/>
        <w:spacing w:after="140" w:before="280" w:lineRule="auto"/>
        <w:rPr/>
      </w:pPr>
      <w:r w:rsidDel="00000000" w:rsidR="00000000" w:rsidRPr="00000000">
        <w:rPr>
          <w:rFonts w:ascii="Calibri" w:cs="Calibri" w:eastAsia="Calibri" w:hAnsi="Calibri"/>
          <w:b w:val="1"/>
          <w:bCs w:val="1"/>
          <w:color w:val="0075c9"/>
          <w:sz w:val="24"/>
          <w:szCs w:val="24"/>
          <w:rtl w:val="0"/>
        </w:rPr>
        <w:t xml:space="preserve">4. Demand Forecasting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 seasonality into inventory planning: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Q3 is consistently the strongest quarter (summer/back-to-school); ensure production and inventory are pre-positioned by Q2 to avoid stockouts, and plan markdown/outlet allocation ahead of the Q4 slowdown.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Establish category-level growth targets: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 250–350% category growth in 2021, historical run-rate models likely understate demand; forecasting should incorporate the accelerating trend rather than flat year-over-year assumptions, while stress-testing for the risk that 2021's growth rate normalizes.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Monitor the Online unit-volume signal: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Online already leads all channels in units sold; forecasting models should weight online demand growth heavily when planning fulfillment and logistics capacity.</w:t>
      </w:r>
      <w:r w:rsidDel="00000000" w:rsidR="00000000" w:rsidRPr="00000000">
        <w:rPr>
          <w:rtl w:val="0"/>
        </w:rPr>
      </w:r>
    </w:p>
    <w:p w:rsidR="00000000" w:rsidDel="00000000" w:rsidP="00000000" w:rsidRDefault="00000000" w:rsidRPr="00000000" w14:paraId="000000E4">
      <w:pPr>
        <w:pStyle w:val="Heading2"/>
        <w:spacing w:after="140" w:before="280" w:lineRule="auto"/>
        <w:rPr/>
      </w:pPr>
      <w:r w:rsidDel="00000000" w:rsidR="00000000" w:rsidRPr="00000000">
        <w:rPr>
          <w:rFonts w:ascii="Calibri" w:cs="Calibri" w:eastAsia="Calibri" w:hAnsi="Calibri"/>
          <w:b w:val="1"/>
          <w:bCs w:val="1"/>
          <w:color w:val="0075c9"/>
          <w:sz w:val="24"/>
          <w:szCs w:val="24"/>
          <w:rtl w:val="0"/>
        </w:rPr>
        <w:t xml:space="preserve">5. Retailer &amp; Partner Management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Strengthen the West Gear and Foot Locker partnerships: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These two retailers drive 51.5% of total sales — treat them as strategic accounts with joint business planning, co-op marketing funds, and priority allocation of new releases.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Investigate the Walmart underperformance: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Lowest sales (8.3%) and one of the lowest margins (38.1%). Assess whether this reflects limited SKU assortment, weak shelf placement, insufficient marketing support, or a genuine mismatch between the Walmart shopper and the Adidas brand — then decide whether to invest further or reallocate resources.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Scale the Sports Direct margin model: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Sports Direct achieves the best margin of any retailer (45.6%). Share pricing/promotional practices across the partner network where contractually possible.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450" w:right="0" w:hanging="2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Grow Amazon deliberately: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the pure e-commerce marketplace in the mix, Amazon should be a natural beneficiary of the broader shift toward online — but currently underperforms other retailers on volume. A dedicated Amazon growth plan (advertising, Prime-exclusive bundles, fulfillment) could capture channel-level online momentum.</w:t>
      </w:r>
      <w:r w:rsidDel="00000000" w:rsidR="00000000" w:rsidRPr="00000000">
        <w:rPr>
          <w:rtl w:val="0"/>
        </w:rPr>
      </w:r>
    </w:p>
    <w:p w:rsidR="00000000" w:rsidDel="00000000" w:rsidP="00000000" w:rsidRDefault="00000000" w:rsidRPr="00000000" w14:paraId="000000E9">
      <w:pPr>
        <w:pStyle w:val="Heading1"/>
        <w:pBdr>
          <w:bottom w:color="0075c9" w:space="4" w:sz="12" w:val="single"/>
        </w:pBdr>
        <w:spacing w:after="180" w:before="360" w:lineRule="auto"/>
        <w:rPr/>
      </w:pPr>
      <w:r w:rsidDel="00000000" w:rsidR="00000000" w:rsidRPr="00000000">
        <w:rPr>
          <w:rFonts w:ascii="Calibri" w:cs="Calibri" w:eastAsia="Calibri" w:hAnsi="Calibri"/>
          <w:b w:val="1"/>
          <w:bCs w:val="1"/>
          <w:color w:val="000000"/>
          <w:sz w:val="30"/>
          <w:szCs w:val="30"/>
          <w:rtl w:val="0"/>
        </w:rPr>
        <w:t xml:space="preserve">Appendix: Data &amp; Methodology</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Calibri" w:cs="Calibri" w:eastAsia="Calibri" w:hAnsi="Calibri"/>
          <w:sz w:val="21"/>
          <w:szCs w:val="21"/>
          <w:rtl w:val="0"/>
        </w:rPr>
        <w:t xml:space="preserve">This analysis is based on 9,648 transaction-level records covering January 1, 2020 through December 31, 2021, sourced from the Adidas U.S. sales dataset. Fields analyzed: Retailer, Retailer ID, Invoice Date, Region, State, City, Product category, Price per Unit, Units Sold, Total Sales, Operating Profit, Operating Margin, and Sales Method (In-store, Outlet, Online). No records contained missing values. All dollar figures are as reported in the source data; 2020 and 2021 may reflect differing coverage periods or retail footprints and should be validated against internal records before use in financial planning.</w:t>
      </w:r>
      <w:r w:rsidDel="00000000" w:rsidR="00000000" w:rsidRPr="00000000">
        <w:rPr>
          <w:rtl w:val="0"/>
        </w:rPr>
      </w:r>
    </w:p>
    <w:sectPr>
      <w:headerReference r:id="rId12" w:type="default"/>
      <w:footerReference r:id="rId13"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pPr>
    <w:r w:rsidDel="00000000" w:rsidR="00000000" w:rsidRPr="00000000">
      <w:rPr>
        <w:rFonts w:ascii="Calibri" w:cs="Calibri" w:eastAsia="Calibri" w:hAnsi="Calibri"/>
        <w:color w:val="666666"/>
        <w:sz w:val="16"/>
        <w:szCs w:val="16"/>
        <w:rtl w:val="0"/>
      </w:rPr>
      <w:t xml:space="preserve">Page </w:t>
    </w:r>
    <w:r w:rsidDel="00000000" w:rsidR="00000000" w:rsidRPr="00000000">
      <w:rPr>
        <w:rFonts w:ascii="Calibri" w:cs="Calibri" w:eastAsia="Calibri" w:hAnsi="Calibri"/>
        <w:color w:val="666666"/>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666666"/>
        <w:sz w:val="16"/>
        <w:szCs w:val="16"/>
        <w:rtl w:val="0"/>
      </w:rPr>
      <w:t xml:space="preserve"> of </w:t>
    </w:r>
    <w:r w:rsidDel="00000000" w:rsidR="00000000" w:rsidRPr="00000000">
      <w:rPr>
        <w:rFonts w:ascii="Calibri" w:cs="Calibri" w:eastAsia="Calibri" w:hAnsi="Calibri"/>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bottom w:color="cccccc" w:space="4" w:sz="4" w:val="single"/>
      </w:pBdr>
      <w:jc w:val="right"/>
      <w:rPr/>
    </w:pPr>
    <w:r w:rsidDel="00000000" w:rsidR="00000000" w:rsidRPr="00000000">
      <w:rPr>
        <w:rFonts w:ascii="Calibri" w:cs="Calibri" w:eastAsia="Calibri" w:hAnsi="Calibri"/>
        <w:color w:val="666666"/>
        <w:sz w:val="16"/>
        <w:szCs w:val="16"/>
        <w:rtl w:val="0"/>
      </w:rPr>
      <w:t xml:space="preserve">Adidas U.S. Sales Analysis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