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2937"/>
          <w:sz w:val="44"/>
          <w:szCs w:val="44"/>
        </w:rPr>
        <w:t xml:space="preserve">WEBSITE PERFORMANCE AUDIT REPORT</w:t>
      </w:r>
    </w:p>
    <w:p>
      <w:pPr>
        <w:spacing w:after="100" w:before="200"/>
        <w:jc w:val="center"/>
      </w:pPr>
      <w:r>
        <w:rPr>
          <w:b/>
          <w:bCs/>
          <w:color w:val="2563EB"/>
          <w:sz w:val="30"/>
          <w:szCs w:val="30"/>
        </w:rPr>
        <w:t xml:space="preserve">happirate.com</w:t>
      </w:r>
    </w:p>
    <w:p>
      <w:pPr>
        <w:spacing w:after="600"/>
        <w:jc w:val="center"/>
      </w:pPr>
      <w:r>
        <w:rPr>
          <w:i/>
          <w:iCs/>
          <w:color w:val="6B7280"/>
          <w:sz w:val="22"/>
          <w:szCs w:val="22"/>
        </w:rPr>
        <w:t xml:space="preserve">Google PageSpeed Insights — Mobile &amp; Desktop Analysis</w:t>
      </w:r>
    </w:p>
    <w:p>
      <w:pPr>
        <w:spacing w:after="60"/>
        <w:jc w:val="center"/>
      </w:pPr>
      <w:r>
        <w:rPr>
          <w:color w:val="1F2937"/>
          <w:sz w:val="21"/>
          <w:szCs w:val="21"/>
        </w:rPr>
        <w:t xml:space="preserve">Report Date: July 8, 2026</w:t>
      </w:r>
    </w:p>
    <w:p>
      <w:pPr>
        <w:spacing w:after="60"/>
        <w:jc w:val="center"/>
      </w:pPr>
      <w:r>
        <w:rPr>
          <w:color w:val="1F2937"/>
          <w:sz w:val="21"/>
          <w:szCs w:val="21"/>
        </w:rPr>
        <w:t xml:space="preserve">Prepared for: Engineering Leadership — HappiRate</w:t>
      </w:r>
    </w:p>
    <w:p>
      <w:pPr>
        <w:spacing w:after="60"/>
        <w:jc w:val="center"/>
      </w:pPr>
      <w:r>
        <w:rPr>
          <w:color w:val="1F2937"/>
          <w:sz w:val="21"/>
          <w:szCs w:val="21"/>
        </w:rPr>
        <w:t xml:space="preserve">Prepared by: Syam Manikanta Kola</w:t>
      </w:r>
    </w:p>
    <w:p>
      <w:pPr>
        <w:spacing w:after="400"/>
        <w:jc w:val="center"/>
      </w:pPr>
      <w:r>
        <w:rPr>
          <w:color w:val="6B7280"/>
          <w:sz w:val="18"/>
          <w:szCs w:val="18"/>
        </w:rPr>
        <w:t xml:space="preserve">Source: Google PageSpeed Insights (Lighthouse 13.4.0)</w:t>
      </w:r>
    </w:p>
    <w:p>
      <w:r>
        <w:br w:type="page"/>
      </w:r>
    </w:p>
    <w:p>
      <w:pPr>
        <w:pStyle w:val="Heading1"/>
        <w:pBdr>
          <w:bottom w:val="single" w:color="2563EB" w:sz="8" w:space="4"/>
        </w:pBdr>
        <w:spacing w:after="200" w:before="400"/>
      </w:pPr>
      <w:r>
        <w:rPr>
          <w:b/>
          <w:bCs/>
          <w:color w:val="1F2937"/>
          <w:sz w:val="32"/>
          <w:szCs w:val="32"/>
        </w:rPr>
        <w:t xml:space="preserve">1. Executive Summary</w:t>
      </w:r>
    </w:p>
    <w:p>
      <w:pPr>
        <w:spacing w:after="150" w:line="276"/>
      </w:pPr>
      <w:r>
        <w:rPr>
          <w:color w:val="1F2937"/>
          <w:sz w:val="21"/>
          <w:szCs w:val="21"/>
        </w:rPr>
        <w:t xml:space="preserve">This report presents a full technical audit of happirate.com based on Google PageSpeed Insights (Lighthouse 13.4.0) reports captured on July 8, 2026 for both Desktop and Mobile. It consolidates every metric, opportunity, diagnostic, and passed audit surfaced in the two reports into a single, actionable engineering document.</w:t>
      </w:r>
    </w:p>
    <w:p>
      <w:pPr>
        <w:spacing w:after="150" w:line="276"/>
      </w:pPr>
      <w:r>
        <w:rPr>
          <w:color w:val="1F2937"/>
          <w:sz w:val="21"/>
          <w:szCs w:val="21"/>
        </w:rPr>
        <w:t xml:space="preserve">The site scores strongly on SEO (100/100 on both platforms) and Best Practices (96/100), reflecting sound fundamentals. However, Performance is the primary risk area — 76/100 on Desktop but only 57/100 on Mobile — driven almost entirely by one root cause: a single oversized, unoptimized logo image (~3.1 MB) that is also the page's Largest Contentful Paint (LCP) element. On mobile 4G-equivalent throttling, this pushes LCP to 24.5 seconds, far outside Google's "Good" threshold of 2.5 seconds.</w:t>
      </w:r>
    </w:p>
    <w:p>
      <w:pPr>
        <w:spacing w:after="150" w:line="276"/>
      </w:pPr>
      <w:r>
        <w:rPr>
          <w:color w:val="1F2937"/>
          <w:sz w:val="21"/>
          <w:szCs w:val="21"/>
        </w:rPr>
        <w:t xml:space="preserve">Secondary issues include render-blocking first-party CSS/JS, a large unused-JavaScript bundle (654.9 KiB, ~438 KiB unused), several accessibility gaps (icon-only links/buttons without accessible names, contrast, heading order), and console errors indicating first-party JS assets are being served as HTML (likely a 404/redirect or routing misconfiguration). A new "Agentic Browsing" category (1/3) flags that the site is not yet well-formed for AI-agent navigation, and that llms.txt is not correctly structured.</w:t>
      </w:r>
    </w:p>
    <w:p>
      <w:pPr>
        <w:pStyle w:val="Heading3"/>
        <w:spacing w:after="100" w:before="220"/>
      </w:pPr>
      <w:r>
        <w:rPr>
          <w:b/>
          <w:bCs/>
          <w:color w:val="1F2937"/>
          <w:sz w:val="22"/>
          <w:szCs w:val="22"/>
        </w:rPr>
        <w:t xml:space="preserve">Key Takeaways</w:t>
      </w:r>
    </w:p>
    <w:p>
      <w:pPr>
        <w:pStyle w:val="ListParagraph"/>
        <w:numPr>
          <w:ilvl w:val="0"/>
          <w:numId w:val="2"/>
        </w:numPr>
        <w:spacing w:after="90"/>
      </w:pPr>
      <w:r>
        <w:rPr>
          <w:color w:val="1F2937"/>
          <w:sz w:val="21"/>
          <w:szCs w:val="21"/>
        </w:rPr>
        <w:t xml:space="preserve">One fix — compressing/re-encoding the logo — is estimated to recover 3.2 MB of transfer size and materially close the mobile performance gap.</w:t>
      </w:r>
    </w:p>
    <w:p>
      <w:pPr>
        <w:pStyle w:val="ListParagraph"/>
        <w:numPr>
          <w:ilvl w:val="0"/>
          <w:numId w:val="2"/>
        </w:numPr>
        <w:spacing w:after="90"/>
      </w:pPr>
      <w:r>
        <w:rPr>
          <w:color w:val="1F2937"/>
          <w:sz w:val="21"/>
          <w:szCs w:val="21"/>
        </w:rPr>
        <w:t xml:space="preserve">Render-blocking resources and unused JavaScript are compounding the image problem, adding a further ~500 ms–1 s of avoidable delay and ~500 KiB of unused code per page load.</w:t>
      </w:r>
    </w:p>
    <w:p>
      <w:pPr>
        <w:pStyle w:val="ListParagraph"/>
        <w:numPr>
          <w:ilvl w:val="0"/>
          <w:numId w:val="2"/>
        </w:numPr>
        <w:spacing w:after="90"/>
      </w:pPr>
      <w:r>
        <w:rPr>
          <w:color w:val="1F2937"/>
          <w:sz w:val="21"/>
          <w:szCs w:val="21"/>
        </w:rPr>
        <w:t xml:space="preserve">Console errors show first-party scripts (bootstrap, aos, glightbox, swiper, purecounter, the contact form validator) returning HTML instead of JavaScript — this is a functional bug, not just a performance one, and should be treated as Critical.</w:t>
      </w:r>
    </w:p>
    <w:p>
      <w:pPr>
        <w:pStyle w:val="ListParagraph"/>
        <w:numPr>
          <w:ilvl w:val="0"/>
          <w:numId w:val="2"/>
        </w:numPr>
        <w:spacing w:after="90"/>
      </w:pPr>
      <w:r>
        <w:rPr>
          <w:color w:val="1F2937"/>
          <w:sz w:val="21"/>
          <w:szCs w:val="21"/>
        </w:rPr>
        <w:t xml:space="preserve">Accessibility (85/100) and the new Agentic Browsing category share the same root causes: buttons/links without discernible names. Fixing these once resolves both categories.</w:t>
      </w:r>
    </w:p>
    <w:p>
      <w:pPr>
        <w:pStyle w:val="ListParagraph"/>
        <w:numPr>
          <w:ilvl w:val="0"/>
          <w:numId w:val="2"/>
        </w:numPr>
        <w:spacing w:after="90"/>
      </w:pPr>
      <w:r>
        <w:rPr>
          <w:color w:val="1F2937"/>
          <w:sz w:val="21"/>
          <w:szCs w:val="21"/>
        </w:rPr>
        <w:t xml:space="preserve">SEO (100/100) and most Best Practices/Trust &amp; Safety checks are already in good shape and require no immediate action.</w:t>
      </w:r>
    </w:p>
    <w:p>
      <w:r>
        <w:br w:type="page"/>
      </w:r>
    </w:p>
    <w:p>
      <w:pPr>
        <w:pStyle w:val="Heading1"/>
        <w:pBdr>
          <w:bottom w:val="single" w:color="2563EB" w:sz="8" w:space="4"/>
        </w:pBdr>
        <w:spacing w:after="200" w:before="400"/>
      </w:pPr>
      <w:r>
        <w:rPr>
          <w:b/>
          <w:bCs/>
          <w:color w:val="1F2937"/>
          <w:sz w:val="32"/>
          <w:szCs w:val="32"/>
        </w:rPr>
        <w:t xml:space="preserve">2. Current Performance Scores</w:t>
      </w:r>
    </w:p>
    <w:p>
      <w:pPr>
        <w:spacing w:after="150" w:line="276"/>
      </w:pPr>
      <w:r>
        <w:rPr>
          <w:color w:val="1F2937"/>
          <w:sz w:val="21"/>
          <w:szCs w:val="21"/>
        </w:rPr>
        <w:t xml:space="preserve">Scores are reported by Lighthouse on a 0–100 scale: red (0–49) needs urgent attention, orange (50–89) needs improvement, green (90–100) is good.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tblGrid>
      <w:tr>
        <w:trPr>
          <w:tblHeader/>
        </w:trPr>
        <w:tc>
          <w:tcPr>
            <w:tcW w:type="dxa" w:w="2600"/>
            <w:shd w:fill="1F2937" w:color="auto"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1600"/>
            <w:shd w:fill="1F2937" w:color="auto" w:val="clear"/>
            <w:tcMar>
              <w:top w:type="dxa" w:w="100"/>
              <w:left w:type="dxa" w:w="120"/>
              <w:bottom w:type="dxa" w:w="100"/>
              <w:right w:type="dxa" w:w="120"/>
            </w:tcMar>
            <w:vAlign w:val="center"/>
          </w:tcPr>
          <w:p>
            <w:pPr>
              <w:jc w:val="center"/>
            </w:pPr>
            <w:r>
              <w:rPr>
                <w:b/>
                <w:bCs/>
                <w:color w:val="FFFFFF"/>
                <w:sz w:val="20"/>
                <w:szCs w:val="20"/>
              </w:rPr>
              <w:t xml:space="preserve">Desktop</w:t>
            </w:r>
          </w:p>
        </w:tc>
        <w:tc>
          <w:tcPr>
            <w:tcW w:type="dxa" w:w="1600"/>
            <w:shd w:fill="1F2937" w:color="auto" w:val="clear"/>
            <w:tcMar>
              <w:top w:type="dxa" w:w="100"/>
              <w:left w:type="dxa" w:w="120"/>
              <w:bottom w:type="dxa" w:w="100"/>
              <w:right w:type="dxa" w:w="120"/>
            </w:tcMar>
            <w:vAlign w:val="center"/>
          </w:tcPr>
          <w:p>
            <w:pPr>
              <w:jc w:val="center"/>
            </w:pPr>
            <w:r>
              <w:rPr>
                <w:b/>
                <w:bCs/>
                <w:color w:val="FFFFFF"/>
                <w:sz w:val="20"/>
                <w:szCs w:val="20"/>
              </w:rPr>
              <w:t xml:space="preserve">Mobile</w:t>
            </w:r>
          </w:p>
        </w:tc>
        <w:tc>
          <w:tcPr>
            <w:tcW w:type="dxa" w:w="1600"/>
            <w:shd w:fill="1F2937" w:color="auto" w:val="clear"/>
            <w:tcMar>
              <w:top w:type="dxa" w:w="100"/>
              <w:left w:type="dxa" w:w="120"/>
              <w:bottom w:type="dxa" w:w="100"/>
              <w:right w:type="dxa" w:w="120"/>
            </w:tcMar>
            <w:vAlign w:val="center"/>
          </w:tcPr>
          <w:p>
            <w:pPr>
              <w:jc w:val="center"/>
            </w:pPr>
            <w:r>
              <w:rPr>
                <w:b/>
                <w:bCs/>
                <w:color w:val="FFFFFF"/>
                <w:sz w:val="20"/>
                <w:szCs w:val="20"/>
              </w:rPr>
              <w:t xml:space="preserve">Delta</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Performance</w:t>
            </w:r>
          </w:p>
        </w:tc>
        <w:tc>
          <w:tcPr>
            <w:tcW w:type="dxa" w:w="1600"/>
            <w:tcMar>
              <w:top w:type="dxa" w:w="100"/>
              <w:left w:type="dxa" w:w="120"/>
              <w:bottom w:type="dxa" w:w="100"/>
              <w:right w:type="dxa" w:w="120"/>
            </w:tcMar>
            <w:vAlign w:val="center"/>
          </w:tcPr>
          <w:p>
            <w:pPr>
              <w:jc w:val="center"/>
            </w:pPr>
            <w:r>
              <w:rPr>
                <w:b/>
                <w:bCs/>
                <w:color w:val="D97706"/>
                <w:sz w:val="20"/>
                <w:szCs w:val="20"/>
              </w:rPr>
              <w:t xml:space="preserve">76</w:t>
            </w:r>
          </w:p>
        </w:tc>
        <w:tc>
          <w:tcPr>
            <w:tcW w:type="dxa" w:w="1600"/>
            <w:tcMar>
              <w:top w:type="dxa" w:w="100"/>
              <w:left w:type="dxa" w:w="120"/>
              <w:bottom w:type="dxa" w:w="100"/>
              <w:right w:type="dxa" w:w="120"/>
            </w:tcMar>
            <w:vAlign w:val="center"/>
          </w:tcPr>
          <w:p>
            <w:pPr>
              <w:jc w:val="center"/>
            </w:pPr>
            <w:r>
              <w:rPr>
                <w:b/>
                <w:bCs/>
                <w:color w:val="D97706"/>
                <w:sz w:val="20"/>
                <w:szCs w:val="20"/>
              </w:rPr>
              <w:t xml:space="preserve">57</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-19</w:t>
            </w:r>
          </w:p>
        </w:tc>
      </w:tr>
      <w:tr>
        <w:tc>
          <w:tcPr>
            <w:tcW w:type="dxa" w:w="2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Accessibility</w:t>
            </w:r>
          </w:p>
        </w:tc>
        <w:tc>
          <w:tcPr>
            <w:tcW w:type="dxa" w:w="1600"/>
            <w:shd w:fill="F3F4F6" w:color="auto" w:val="clear"/>
            <w:tcMar>
              <w:top w:type="dxa" w:w="100"/>
              <w:left w:type="dxa" w:w="120"/>
              <w:bottom w:type="dxa" w:w="100"/>
              <w:right w:type="dxa" w:w="120"/>
            </w:tcMar>
            <w:vAlign w:val="center"/>
          </w:tcPr>
          <w:p>
            <w:pPr>
              <w:jc w:val="center"/>
            </w:pPr>
            <w:r>
              <w:rPr>
                <w:b/>
                <w:bCs/>
                <w:color w:val="D97706"/>
                <w:sz w:val="20"/>
                <w:szCs w:val="20"/>
              </w:rPr>
              <w:t xml:space="preserve">85</w:t>
            </w:r>
          </w:p>
        </w:tc>
        <w:tc>
          <w:tcPr>
            <w:tcW w:type="dxa" w:w="1600"/>
            <w:shd w:fill="F3F4F6" w:color="auto" w:val="clear"/>
            <w:tcMar>
              <w:top w:type="dxa" w:w="100"/>
              <w:left w:type="dxa" w:w="120"/>
              <w:bottom w:type="dxa" w:w="100"/>
              <w:right w:type="dxa" w:w="120"/>
            </w:tcMar>
            <w:vAlign w:val="center"/>
          </w:tcPr>
          <w:p>
            <w:pPr>
              <w:jc w:val="center"/>
            </w:pPr>
            <w:r>
              <w:rPr>
                <w:b/>
                <w:bCs/>
                <w:color w:val="D97706"/>
                <w:sz w:val="20"/>
                <w:szCs w:val="20"/>
              </w:rPr>
              <w:t xml:space="preserve">85</w:t>
            </w:r>
          </w:p>
        </w:tc>
        <w:tc>
          <w:tcPr>
            <w:tcW w:type="dxa" w:w="16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0</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Best Practices</w:t>
            </w:r>
          </w:p>
        </w:tc>
        <w:tc>
          <w:tcPr>
            <w:tcW w:type="dxa" w:w="1600"/>
            <w:tcMar>
              <w:top w:type="dxa" w:w="100"/>
              <w:left w:type="dxa" w:w="120"/>
              <w:bottom w:type="dxa" w:w="100"/>
              <w:right w:type="dxa" w:w="120"/>
            </w:tcMar>
            <w:vAlign w:val="center"/>
          </w:tcPr>
          <w:p>
            <w:pPr>
              <w:jc w:val="center"/>
            </w:pPr>
            <w:r>
              <w:rPr>
                <w:b/>
                <w:bCs/>
                <w:color w:val="16A34A"/>
                <w:sz w:val="20"/>
                <w:szCs w:val="20"/>
              </w:rPr>
              <w:t xml:space="preserve">96</w:t>
            </w:r>
          </w:p>
        </w:tc>
        <w:tc>
          <w:tcPr>
            <w:tcW w:type="dxa" w:w="1600"/>
            <w:tcMar>
              <w:top w:type="dxa" w:w="100"/>
              <w:left w:type="dxa" w:w="120"/>
              <w:bottom w:type="dxa" w:w="100"/>
              <w:right w:type="dxa" w:w="120"/>
            </w:tcMar>
            <w:vAlign w:val="center"/>
          </w:tcPr>
          <w:p>
            <w:pPr>
              <w:jc w:val="center"/>
            </w:pPr>
            <w:r>
              <w:rPr>
                <w:b/>
                <w:bCs/>
                <w:color w:val="16A34A"/>
                <w:sz w:val="20"/>
                <w:szCs w:val="20"/>
              </w:rPr>
              <w:t xml:space="preserve">96</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0</w:t>
            </w:r>
          </w:p>
        </w:tc>
      </w:tr>
      <w:tr>
        <w:tc>
          <w:tcPr>
            <w:tcW w:type="dxa" w:w="2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SEO</w:t>
            </w:r>
          </w:p>
        </w:tc>
        <w:tc>
          <w:tcPr>
            <w:tcW w:type="dxa" w:w="1600"/>
            <w:shd w:fill="F3F4F6" w:color="auto" w:val="clear"/>
            <w:tcMar>
              <w:top w:type="dxa" w:w="100"/>
              <w:left w:type="dxa" w:w="120"/>
              <w:bottom w:type="dxa" w:w="100"/>
              <w:right w:type="dxa" w:w="120"/>
            </w:tcMar>
            <w:vAlign w:val="center"/>
          </w:tcPr>
          <w:p>
            <w:pPr>
              <w:jc w:val="center"/>
            </w:pPr>
            <w:r>
              <w:rPr>
                <w:b/>
                <w:bCs/>
                <w:color w:val="16A34A"/>
                <w:sz w:val="20"/>
                <w:szCs w:val="20"/>
              </w:rPr>
              <w:t xml:space="preserve">100</w:t>
            </w:r>
          </w:p>
        </w:tc>
        <w:tc>
          <w:tcPr>
            <w:tcW w:type="dxa" w:w="1600"/>
            <w:shd w:fill="F3F4F6" w:color="auto" w:val="clear"/>
            <w:tcMar>
              <w:top w:type="dxa" w:w="100"/>
              <w:left w:type="dxa" w:w="120"/>
              <w:bottom w:type="dxa" w:w="100"/>
              <w:right w:type="dxa" w:w="120"/>
            </w:tcMar>
            <w:vAlign w:val="center"/>
          </w:tcPr>
          <w:p>
            <w:pPr>
              <w:jc w:val="center"/>
            </w:pPr>
            <w:r>
              <w:rPr>
                <w:b/>
                <w:bCs/>
                <w:color w:val="16A34A"/>
                <w:sz w:val="20"/>
                <w:szCs w:val="20"/>
              </w:rPr>
              <w:t xml:space="preserve">100</w:t>
            </w:r>
          </w:p>
        </w:tc>
        <w:tc>
          <w:tcPr>
            <w:tcW w:type="dxa" w:w="16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0</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Agentic Browsing</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 / 3 checks</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1 / 3 checks</w:t>
            </w:r>
          </w:p>
        </w:tc>
        <w:tc>
          <w:tcPr>
            <w:tcW w:type="dxa" w:w="1600"/>
            <w:tcMar>
              <w:top w:type="dxa" w:w="100"/>
              <w:left w:type="dxa" w:w="120"/>
              <w:bottom w:type="dxa" w:w="100"/>
              <w:right w:type="dxa" w:w="120"/>
            </w:tcMar>
            <w:vAlign w:val="center"/>
          </w:tcPr>
          <w:p>
            <w:pPr>
              <w:jc w:val="center"/>
            </w:pPr>
            <w:r>
              <w:rPr>
                <w:b w:val="false"/>
                <w:bCs w:val="false"/>
                <w:color w:val="1F2937"/>
                <w:sz w:val="20"/>
                <w:szCs w:val="20"/>
              </w:rPr>
              <w:t xml:space="preserve">0</w:t>
            </w:r>
          </w:p>
        </w:tc>
      </w:tr>
    </w:tbl>
    <w:p>
      <w:pPr>
        <w:spacing w:after="150"/>
      </w:pPr>
    </w:p>
    <w:p>
      <w:pPr>
        <w:spacing w:after="150" w:line="276"/>
      </w:pPr>
      <w:r>
        <w:rPr>
          <w:color w:val="1F2937"/>
          <w:sz w:val="21"/>
          <w:szCs w:val="21"/>
        </w:rPr>
        <w:t xml:space="preserve">Note: Performance is the only category with a meaningful Desktop-vs-Mobile gap. Accessibility, Best Practices, and SEO are device-independent since they assess markup and code quality rather than network conditions.</w:t>
      </w:r>
    </w:p>
    <w:p>
      <w:pPr>
        <w:pStyle w:val="Heading1"/>
        <w:pBdr>
          <w:bottom w:val="single" w:color="2563EB" w:sz="8" w:space="4"/>
        </w:pBdr>
        <w:spacing w:after="200" w:before="400"/>
      </w:pPr>
      <w:r>
        <w:rPr>
          <w:b/>
          <w:bCs/>
          <w:color w:val="1F2937"/>
          <w:sz w:val="32"/>
          <w:szCs w:val="32"/>
        </w:rPr>
        <w:t xml:space="preserve">3. Mobile vs Desktop Comparison</w:t>
      </w:r>
    </w:p>
    <w:p>
      <w:pPr>
        <w:pStyle w:val="Heading3"/>
        <w:spacing w:after="100" w:before="220"/>
      </w:pPr>
      <w:r>
        <w:rPr>
          <w:b/>
          <w:bCs/>
          <w:color w:val="1F2937"/>
          <w:sz w:val="22"/>
          <w:szCs w:val="22"/>
        </w:rPr>
        <w:t xml:space="preserve">3.1 Core Metrics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2400"/>
      </w:tblGrid>
      <w:tr>
        <w:trPr>
          <w:tblHeader/>
        </w:trPr>
        <w:tc>
          <w:tcPr>
            <w:tcW w:type="dxa" w:w="2400"/>
            <w:shd w:fill="1F2937" w:color="auto" w:val="clear"/>
            <w:tcMar>
              <w:top w:type="dxa" w:w="100"/>
              <w:left w:type="dxa" w:w="120"/>
              <w:bottom w:type="dxa" w:w="100"/>
              <w:right w:type="dxa" w:w="120"/>
            </w:tcMar>
            <w:vAlign w:val="center"/>
          </w:tcPr>
          <w:p>
            <w:pPr>
              <w:jc w:val="center"/>
            </w:pPr>
            <w:r>
              <w:rPr>
                <w:b/>
                <w:bCs/>
                <w:color w:val="FFFFFF"/>
                <w:sz w:val="20"/>
                <w:szCs w:val="20"/>
              </w:rPr>
              <w:t xml:space="preserve">Metric</w:t>
            </w:r>
          </w:p>
        </w:tc>
        <w:tc>
          <w:tcPr>
            <w:tcW w:type="dxa" w:w="1700"/>
            <w:shd w:fill="1F2937" w:color="auto" w:val="clear"/>
            <w:tcMar>
              <w:top w:type="dxa" w:w="100"/>
              <w:left w:type="dxa" w:w="120"/>
              <w:bottom w:type="dxa" w:w="100"/>
              <w:right w:type="dxa" w:w="120"/>
            </w:tcMar>
            <w:vAlign w:val="center"/>
          </w:tcPr>
          <w:p>
            <w:pPr>
              <w:jc w:val="center"/>
            </w:pPr>
            <w:r>
              <w:rPr>
                <w:b/>
                <w:bCs/>
                <w:color w:val="FFFFFF"/>
                <w:sz w:val="20"/>
                <w:szCs w:val="20"/>
              </w:rPr>
              <w:t xml:space="preserve">Desktop</w:t>
            </w:r>
          </w:p>
        </w:tc>
        <w:tc>
          <w:tcPr>
            <w:tcW w:type="dxa" w:w="1700"/>
            <w:shd w:fill="1F2937" w:color="auto" w:val="clear"/>
            <w:tcMar>
              <w:top w:type="dxa" w:w="100"/>
              <w:left w:type="dxa" w:w="120"/>
              <w:bottom w:type="dxa" w:w="100"/>
              <w:right w:type="dxa" w:w="120"/>
            </w:tcMar>
            <w:vAlign w:val="center"/>
          </w:tcPr>
          <w:p>
            <w:pPr>
              <w:jc w:val="center"/>
            </w:pPr>
            <w:r>
              <w:rPr>
                <w:b/>
                <w:bCs/>
                <w:color w:val="FFFFFF"/>
                <w:sz w:val="20"/>
                <w:szCs w:val="20"/>
              </w:rPr>
              <w:t xml:space="preserve">Mobile</w:t>
            </w:r>
          </w:p>
        </w:tc>
        <w:tc>
          <w:tcPr>
            <w:tcW w:type="dxa" w:w="2400"/>
            <w:shd w:fill="1F2937" w:color="auto" w:val="clear"/>
            <w:tcMar>
              <w:top w:type="dxa" w:w="100"/>
              <w:left w:type="dxa" w:w="120"/>
              <w:bottom w:type="dxa" w:w="100"/>
              <w:right w:type="dxa" w:w="120"/>
            </w:tcMar>
            <w:vAlign w:val="center"/>
          </w:tcPr>
          <w:p>
            <w:pPr>
              <w:jc w:val="center"/>
            </w:pPr>
            <w:r>
              <w:rPr>
                <w:b/>
                <w:bCs/>
                <w:color w:val="FFFFFF"/>
                <w:sz w:val="20"/>
                <w:szCs w:val="20"/>
              </w:rPr>
              <w:t xml:space="preserve">Google "Good" Threshold</w:t>
            </w:r>
          </w:p>
        </w:tc>
      </w:tr>
      <w:tr>
        <w:tc>
          <w:tcPr>
            <w:tcW w:type="dxa" w:w="2400"/>
            <w:tcMar>
              <w:top w:type="dxa" w:w="100"/>
              <w:left w:type="dxa" w:w="120"/>
              <w:bottom w:type="dxa" w:w="100"/>
              <w:right w:type="dxa" w:w="120"/>
            </w:tcMar>
            <w:vAlign w:val="center"/>
          </w:tcPr>
          <w:p>
            <w:pPr>
              <w:jc w:val="left"/>
            </w:pPr>
            <w:r>
              <w:rPr>
                <w:b w:val="false"/>
                <w:bCs w:val="false"/>
                <w:color w:val="1F2937"/>
                <w:sz w:val="20"/>
                <w:szCs w:val="20"/>
              </w:rPr>
              <w:t xml:space="preserve">First Contentful Paint (FCP)</w:t>
            </w:r>
          </w:p>
        </w:tc>
        <w:tc>
          <w:tcPr>
            <w:tcW w:type="dxa" w:w="1700"/>
            <w:tcMar>
              <w:top w:type="dxa" w:w="100"/>
              <w:left w:type="dxa" w:w="120"/>
              <w:bottom w:type="dxa" w:w="100"/>
              <w:right w:type="dxa" w:w="120"/>
            </w:tcMar>
            <w:vAlign w:val="center"/>
          </w:tcPr>
          <w:p>
            <w:pPr>
              <w:jc w:val="center"/>
            </w:pPr>
            <w:r>
              <w:rPr>
                <w:b w:val="false"/>
                <w:bCs w:val="false"/>
                <w:color w:val="1F2937"/>
                <w:sz w:val="20"/>
                <w:szCs w:val="20"/>
              </w:rPr>
              <w:t xml:space="preserve">1.1 s</w:t>
            </w:r>
          </w:p>
        </w:tc>
        <w:tc>
          <w:tcPr>
            <w:tcW w:type="dxa" w:w="1700"/>
            <w:tcMar>
              <w:top w:type="dxa" w:w="100"/>
              <w:left w:type="dxa" w:w="120"/>
              <w:bottom w:type="dxa" w:w="100"/>
              <w:right w:type="dxa" w:w="120"/>
            </w:tcMar>
            <w:vAlign w:val="center"/>
          </w:tcPr>
          <w:p>
            <w:pPr>
              <w:jc w:val="center"/>
            </w:pPr>
            <w:r>
              <w:rPr>
                <w:b w:val="false"/>
                <w:bCs w:val="false"/>
                <w:color w:val="1F2937"/>
                <w:sz w:val="20"/>
                <w:szCs w:val="20"/>
              </w:rPr>
              <w:t xml:space="preserve">8.5 s</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 1.8 s</w:t>
            </w:r>
          </w:p>
        </w:tc>
      </w:tr>
      <w:tr>
        <w:tc>
          <w:tcPr>
            <w:tcW w:type="dxa" w:w="2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Largest Contentful Paint (LCP)</w:t>
            </w:r>
          </w:p>
        </w:tc>
        <w:tc>
          <w:tcPr>
            <w:tcW w:type="dxa" w:w="17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3.7 s</w:t>
            </w:r>
          </w:p>
        </w:tc>
        <w:tc>
          <w:tcPr>
            <w:tcW w:type="dxa" w:w="17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24.5 s</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 2.5 s</w:t>
            </w:r>
          </w:p>
        </w:tc>
      </w:tr>
      <w:tr>
        <w:tc>
          <w:tcPr>
            <w:tcW w:type="dxa" w:w="2400"/>
            <w:tcMar>
              <w:top w:type="dxa" w:w="100"/>
              <w:left w:type="dxa" w:w="120"/>
              <w:bottom w:type="dxa" w:w="100"/>
              <w:right w:type="dxa" w:w="120"/>
            </w:tcMar>
            <w:vAlign w:val="center"/>
          </w:tcPr>
          <w:p>
            <w:pPr>
              <w:jc w:val="left"/>
            </w:pPr>
            <w:r>
              <w:rPr>
                <w:b w:val="false"/>
                <w:bCs w:val="false"/>
                <w:color w:val="1F2937"/>
                <w:sz w:val="20"/>
                <w:szCs w:val="20"/>
              </w:rPr>
              <w:t xml:space="preserve">Total Blocking Time (TBT)</w:t>
            </w:r>
          </w:p>
        </w:tc>
        <w:tc>
          <w:tcPr>
            <w:tcW w:type="dxa" w:w="1700"/>
            <w:tcMar>
              <w:top w:type="dxa" w:w="100"/>
              <w:left w:type="dxa" w:w="120"/>
              <w:bottom w:type="dxa" w:w="100"/>
              <w:right w:type="dxa" w:w="120"/>
            </w:tcMar>
            <w:vAlign w:val="center"/>
          </w:tcPr>
          <w:p>
            <w:pPr>
              <w:jc w:val="center"/>
            </w:pPr>
            <w:r>
              <w:rPr>
                <w:b w:val="false"/>
                <w:bCs w:val="false"/>
                <w:color w:val="1F2937"/>
                <w:sz w:val="20"/>
                <w:szCs w:val="20"/>
              </w:rPr>
              <w:t xml:space="preserve">60 ms</w:t>
            </w:r>
          </w:p>
        </w:tc>
        <w:tc>
          <w:tcPr>
            <w:tcW w:type="dxa" w:w="1700"/>
            <w:tcMar>
              <w:top w:type="dxa" w:w="100"/>
              <w:left w:type="dxa" w:w="120"/>
              <w:bottom w:type="dxa" w:w="100"/>
              <w:right w:type="dxa" w:w="120"/>
            </w:tcMar>
            <w:vAlign w:val="center"/>
          </w:tcPr>
          <w:p>
            <w:pPr>
              <w:jc w:val="center"/>
            </w:pPr>
            <w:r>
              <w:rPr>
                <w:b w:val="false"/>
                <w:bCs w:val="false"/>
                <w:color w:val="1F2937"/>
                <w:sz w:val="20"/>
                <w:szCs w:val="20"/>
              </w:rPr>
              <w:t xml:space="preserve">0 ms</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 200 ms</w:t>
            </w:r>
          </w:p>
        </w:tc>
      </w:tr>
      <w:tr>
        <w:tc>
          <w:tcPr>
            <w:tcW w:type="dxa" w:w="2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Cumulative Layout Shift (CLS)</w:t>
            </w:r>
          </w:p>
        </w:tc>
        <w:tc>
          <w:tcPr>
            <w:tcW w:type="dxa" w:w="17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0.001</w:t>
            </w:r>
          </w:p>
        </w:tc>
        <w:tc>
          <w:tcPr>
            <w:tcW w:type="dxa" w:w="17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0</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 0.1</w:t>
            </w:r>
          </w:p>
        </w:tc>
      </w:tr>
      <w:tr>
        <w:tc>
          <w:tcPr>
            <w:tcW w:type="dxa" w:w="2400"/>
            <w:tcMar>
              <w:top w:type="dxa" w:w="100"/>
              <w:left w:type="dxa" w:w="120"/>
              <w:bottom w:type="dxa" w:w="100"/>
              <w:right w:type="dxa" w:w="120"/>
            </w:tcMar>
            <w:vAlign w:val="center"/>
          </w:tcPr>
          <w:p>
            <w:pPr>
              <w:jc w:val="left"/>
            </w:pPr>
            <w:r>
              <w:rPr>
                <w:b w:val="false"/>
                <w:bCs w:val="false"/>
                <w:color w:val="1F2937"/>
                <w:sz w:val="20"/>
                <w:szCs w:val="20"/>
              </w:rPr>
              <w:t xml:space="preserve">Speed Index</w:t>
            </w:r>
          </w:p>
        </w:tc>
        <w:tc>
          <w:tcPr>
            <w:tcW w:type="dxa" w:w="1700"/>
            <w:tcMar>
              <w:top w:type="dxa" w:w="100"/>
              <w:left w:type="dxa" w:w="120"/>
              <w:bottom w:type="dxa" w:w="100"/>
              <w:right w:type="dxa" w:w="120"/>
            </w:tcMar>
            <w:vAlign w:val="center"/>
          </w:tcPr>
          <w:p>
            <w:pPr>
              <w:jc w:val="center"/>
            </w:pPr>
            <w:r>
              <w:rPr>
                <w:b w:val="false"/>
                <w:bCs w:val="false"/>
                <w:color w:val="1F2937"/>
                <w:sz w:val="20"/>
                <w:szCs w:val="20"/>
              </w:rPr>
              <w:t xml:space="preserve">1.7 s</w:t>
            </w:r>
          </w:p>
        </w:tc>
        <w:tc>
          <w:tcPr>
            <w:tcW w:type="dxa" w:w="1700"/>
            <w:tcMar>
              <w:top w:type="dxa" w:w="100"/>
              <w:left w:type="dxa" w:w="120"/>
              <w:bottom w:type="dxa" w:w="100"/>
              <w:right w:type="dxa" w:w="120"/>
            </w:tcMar>
            <w:vAlign w:val="center"/>
          </w:tcPr>
          <w:p>
            <w:pPr>
              <w:jc w:val="center"/>
            </w:pPr>
            <w:r>
              <w:rPr>
                <w:b w:val="false"/>
                <w:bCs w:val="false"/>
                <w:color w:val="1F2937"/>
                <w:sz w:val="20"/>
                <w:szCs w:val="20"/>
              </w:rPr>
              <w:t xml:space="preserve">8.5 s</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 3.4 s</w:t>
            </w:r>
          </w:p>
        </w:tc>
      </w:tr>
    </w:tbl>
    <w:p>
      <w:pPr>
        <w:spacing w:after="150"/>
      </w:pPr>
    </w:p>
    <w:p>
      <w:pPr>
        <w:spacing w:after="150" w:line="276"/>
      </w:pPr>
      <w:r>
        <w:rPr>
          <w:color w:val="1F2937"/>
          <w:sz w:val="21"/>
          <w:szCs w:val="21"/>
        </w:rPr>
        <w:t xml:space="preserve">Test conditions: Desktop was captured with custom throttling; Mobile emulated a Moto G Power device under simulated Slow 4G throttling (per the report's device/network metadata). This explains part of the gap, but the magnitude — FCP roughly 7.7× slower, LCP roughly 6.6× slower on mobile — indicates the page is disproportionately punished by network-bound resources (the large image, render-blocking CSS/JS) rather than by CPU work alone, since TBT is actually 0 ms on mobile and only 60 ms on desktop.</w:t>
      </w:r>
    </w:p>
    <w:p>
      <w:pPr>
        <w:pStyle w:val="Heading3"/>
        <w:spacing w:after="100" w:before="220"/>
      </w:pPr>
      <w:r>
        <w:rPr>
          <w:b/>
          <w:bCs/>
          <w:color w:val="1F2937"/>
          <w:sz w:val="22"/>
          <w:szCs w:val="22"/>
        </w:rPr>
        <w:t xml:space="preserve">3.2 Network Payload Comparison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tblGrid>
      <w:tr>
        <w:trPr>
          <w:tblHeader/>
        </w:trPr>
        <w:tc>
          <w:tcPr>
            <w:tcW w:type="dxa" w:w="3400"/>
            <w:shd w:fill="1F2937" w:color="auto" w:val="clear"/>
            <w:tcMar>
              <w:top w:type="dxa" w:w="100"/>
              <w:left w:type="dxa" w:w="120"/>
              <w:bottom w:type="dxa" w:w="100"/>
              <w:right w:type="dxa" w:w="120"/>
            </w:tcMar>
            <w:vAlign w:val="center"/>
          </w:tcPr>
          <w:p>
            <w:pPr>
              <w:jc w:val="center"/>
            </w:pPr>
            <w:r>
              <w:rPr>
                <w:b/>
                <w:bCs/>
                <w:color w:val="FFFFFF"/>
                <w:sz w:val="20"/>
                <w:szCs w:val="20"/>
              </w:rPr>
              <w:t xml:space="preserve">Resource</w:t>
            </w:r>
          </w:p>
        </w:tc>
        <w:tc>
          <w:tcPr>
            <w:tcW w:type="dxa" w:w="2400"/>
            <w:shd w:fill="1F2937" w:color="auto" w:val="clear"/>
            <w:tcMar>
              <w:top w:type="dxa" w:w="100"/>
              <w:left w:type="dxa" w:w="120"/>
              <w:bottom w:type="dxa" w:w="100"/>
              <w:right w:type="dxa" w:w="120"/>
            </w:tcMar>
            <w:vAlign w:val="center"/>
          </w:tcPr>
          <w:p>
            <w:pPr>
              <w:jc w:val="center"/>
            </w:pPr>
            <w:r>
              <w:rPr>
                <w:b/>
                <w:bCs/>
                <w:color w:val="FFFFFF"/>
                <w:sz w:val="20"/>
                <w:szCs w:val="20"/>
              </w:rPr>
              <w:t xml:space="preserve">Desktop</w:t>
            </w:r>
          </w:p>
        </w:tc>
        <w:tc>
          <w:tcPr>
            <w:tcW w:type="dxa" w:w="2400"/>
            <w:shd w:fill="1F2937" w:color="auto" w:val="clear"/>
            <w:tcMar>
              <w:top w:type="dxa" w:w="100"/>
              <w:left w:type="dxa" w:w="120"/>
              <w:bottom w:type="dxa" w:w="100"/>
              <w:right w:type="dxa" w:w="120"/>
            </w:tcMar>
            <w:vAlign w:val="center"/>
          </w:tcPr>
          <w:p>
            <w:pPr>
              <w:jc w:val="center"/>
            </w:pPr>
            <w:r>
              <w:rPr>
                <w:b/>
                <w:bCs/>
                <w:color w:val="FFFFFF"/>
                <w:sz w:val="20"/>
                <w:szCs w:val="20"/>
              </w:rPr>
              <w:t xml:space="preserve">Mobile</w:t>
            </w:r>
          </w:p>
        </w:tc>
      </w:tr>
      <w:tr>
        <w:tc>
          <w:tcPr>
            <w:tcW w:type="dxa" w:w="3400"/>
            <w:tcMar>
              <w:top w:type="dxa" w:w="100"/>
              <w:left w:type="dxa" w:w="120"/>
              <w:bottom w:type="dxa" w:w="100"/>
              <w:right w:type="dxa" w:w="120"/>
            </w:tcMar>
            <w:vAlign w:val="center"/>
          </w:tcPr>
          <w:p>
            <w:pPr>
              <w:jc w:val="left"/>
            </w:pPr>
            <w:r>
              <w:rPr>
                <w:b w:val="false"/>
                <w:bCs w:val="false"/>
                <w:color w:val="1F2937"/>
                <w:sz w:val="20"/>
                <w:szCs w:val="20"/>
              </w:rPr>
              <w:t xml:space="preserve">Total page weight</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4,111 KiB</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4,248 KiB</w:t>
            </w:r>
          </w:p>
        </w:tc>
      </w:tr>
      <w:tr>
        <w:tc>
          <w:tcPr>
            <w:tcW w:type="dxa" w:w="3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Largest asset (logo PNG, happiratelogo)</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3,126.4 KiB (displayed at 80×80 / 123×123)</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3,126.4 KiB (displayed at 80×80 / 123×123)</w:t>
            </w:r>
          </w:p>
        </w:tc>
      </w:tr>
      <w:tr>
        <w:tc>
          <w:tcPr>
            <w:tcW w:type="dxa" w:w="3400"/>
            <w:tcMar>
              <w:top w:type="dxa" w:w="100"/>
              <w:left w:type="dxa" w:w="120"/>
              <w:bottom w:type="dxa" w:w="100"/>
              <w:right w:type="dxa" w:w="120"/>
            </w:tcMar>
            <w:vAlign w:val="center"/>
          </w:tcPr>
          <w:p>
            <w:pPr>
              <w:jc w:val="left"/>
            </w:pPr>
            <w:r>
              <w:rPr>
                <w:b w:val="false"/>
                <w:bCs w:val="false"/>
                <w:color w:val="1F2937"/>
                <w:sz w:val="20"/>
                <w:szCs w:val="20"/>
              </w:rPr>
              <w:t xml:space="preserve">Est. savings from image optimization</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3,207 KiB</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3,205 KiB</w:t>
            </w:r>
          </w:p>
        </w:tc>
      </w:tr>
      <w:tr>
        <w:tc>
          <w:tcPr>
            <w:tcW w:type="dxa" w:w="3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Est. savings from render-blocking fixes</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440 ms</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1,080 ms</w:t>
            </w:r>
          </w:p>
        </w:tc>
      </w:tr>
      <w:tr>
        <w:tc>
          <w:tcPr>
            <w:tcW w:type="dxa" w:w="3400"/>
            <w:tcMar>
              <w:top w:type="dxa" w:w="100"/>
              <w:left w:type="dxa" w:w="120"/>
              <w:bottom w:type="dxa" w:w="100"/>
              <w:right w:type="dxa" w:w="120"/>
            </w:tcMar>
            <w:vAlign w:val="center"/>
          </w:tcPr>
          <w:p>
            <w:pPr>
              <w:jc w:val="left"/>
            </w:pPr>
            <w:r>
              <w:rPr>
                <w:b w:val="false"/>
                <w:bCs w:val="false"/>
                <w:color w:val="1F2937"/>
                <w:sz w:val="20"/>
                <w:szCs w:val="20"/>
              </w:rPr>
              <w:t xml:space="preserve">Est. savings from unused JavaScript</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535 KiB</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591 KiB</w:t>
            </w:r>
          </w:p>
        </w:tc>
      </w:tr>
      <w:tr>
        <w:tc>
          <w:tcPr>
            <w:tcW w:type="dxa" w:w="3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Max critical-path latency</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974 ms</w:t>
            </w:r>
          </w:p>
        </w:tc>
        <w:tc>
          <w:tcPr>
            <w:tcW w:type="dxa" w:w="24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1,473 ms</w:t>
            </w:r>
          </w:p>
        </w:tc>
      </w:tr>
      <w:tr>
        <w:tc>
          <w:tcPr>
            <w:tcW w:type="dxa" w:w="3400"/>
            <w:tcMar>
              <w:top w:type="dxa" w:w="100"/>
              <w:left w:type="dxa" w:w="120"/>
              <w:bottom w:type="dxa" w:w="100"/>
              <w:right w:type="dxa" w:w="120"/>
            </w:tcMar>
            <w:vAlign w:val="center"/>
          </w:tcPr>
          <w:p>
            <w:pPr>
              <w:jc w:val="left"/>
            </w:pPr>
            <w:r>
              <w:rPr>
                <w:b w:val="false"/>
                <w:bCs w:val="false"/>
                <w:color w:val="1F2937"/>
                <w:sz w:val="20"/>
                <w:szCs w:val="20"/>
              </w:rPr>
              <w:t xml:space="preserve">3rd-party weight (GTM + JSDelivr + Fonts, Mobile adds Firebase Auth)</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~176 KiB</w:t>
            </w:r>
          </w:p>
        </w:tc>
        <w:tc>
          <w:tcPr>
            <w:tcW w:type="dxa" w:w="2400"/>
            <w:tcMar>
              <w:top w:type="dxa" w:w="100"/>
              <w:left w:type="dxa" w:w="120"/>
              <w:bottom w:type="dxa" w:w="100"/>
              <w:right w:type="dxa" w:w="120"/>
            </w:tcMar>
            <w:vAlign w:val="center"/>
          </w:tcPr>
          <w:p>
            <w:pPr>
              <w:jc w:val="center"/>
            </w:pPr>
            <w:r>
              <w:rPr>
                <w:b w:val="false"/>
                <w:bCs w:val="false"/>
                <w:color w:val="1F2937"/>
                <w:sz w:val="20"/>
                <w:szCs w:val="20"/>
              </w:rPr>
              <w:t xml:space="preserve">~270 KiB</w:t>
            </w:r>
          </w:p>
        </w:tc>
      </w:tr>
    </w:tbl>
    <w:p>
      <w:r>
        <w:br w:type="page"/>
      </w:r>
    </w:p>
    <w:p>
      <w:pPr>
        <w:pStyle w:val="Heading1"/>
        <w:pBdr>
          <w:bottom w:val="single" w:color="2563EB" w:sz="8" w:space="4"/>
        </w:pBdr>
        <w:spacing w:after="200" w:before="400"/>
      </w:pPr>
      <w:r>
        <w:rPr>
          <w:b/>
          <w:bCs/>
          <w:color w:val="1F2937"/>
          <w:sz w:val="32"/>
          <w:szCs w:val="32"/>
        </w:rPr>
        <w:t xml:space="preserve">4. Core Web Vitals Analysis</w:t>
      </w:r>
    </w:p>
    <w:p>
      <w:pPr>
        <w:pStyle w:val="Heading3"/>
        <w:spacing w:after="100" w:before="220"/>
      </w:pPr>
      <w:r>
        <w:rPr>
          <w:b/>
          <w:bCs/>
          <w:color w:val="1F2937"/>
          <w:sz w:val="22"/>
          <w:szCs w:val="22"/>
        </w:rPr>
        <w:t xml:space="preserve">4.1 Largest Contentful Paint (LCP) — Critical</w:t>
      </w:r>
    </w:p>
    <w:p>
      <w:pPr>
        <w:spacing w:after="150" w:line="276"/>
      </w:pPr>
      <w:r>
        <w:rPr>
          <w:color w:val="1F2937"/>
          <w:sz w:val="21"/>
          <w:szCs w:val="21"/>
        </w:rPr>
        <w:t xml:space="preserve">LCP is the site's single biggest liability. The LCP element on both device types is the Happirate logo image.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tblHeader/>
        </w:trPr>
        <w:tc>
          <w:tcPr>
            <w:tcW w:type="dxa" w:w="2600"/>
            <w:shd w:fill="1F2937" w:color="auto" w:val="clear"/>
            <w:tcMar>
              <w:top w:type="dxa" w:w="100"/>
              <w:left w:type="dxa" w:w="120"/>
              <w:bottom w:type="dxa" w:w="100"/>
              <w:right w:type="dxa" w:w="120"/>
            </w:tcMar>
            <w:vAlign w:val="center"/>
          </w:tcPr>
          <w:p>
            <w:pPr>
              <w:jc w:val="center"/>
            </w:pPr>
            <w:r>
              <w:rPr>
                <w:b/>
                <w:bCs/>
                <w:color w:val="FFFFFF"/>
                <w:sz w:val="20"/>
                <w:szCs w:val="20"/>
              </w:rPr>
              <w:t xml:space="preserve">LCP Sub-part</w:t>
            </w:r>
          </w:p>
        </w:tc>
        <w:tc>
          <w:tcPr>
            <w:tcW w:type="dxa" w:w="2600"/>
            <w:shd w:fill="1F2937" w:color="auto" w:val="clear"/>
            <w:tcMar>
              <w:top w:type="dxa" w:w="100"/>
              <w:left w:type="dxa" w:w="120"/>
              <w:bottom w:type="dxa" w:w="100"/>
              <w:right w:type="dxa" w:w="120"/>
            </w:tcMar>
            <w:vAlign w:val="center"/>
          </w:tcPr>
          <w:p>
            <w:pPr>
              <w:jc w:val="center"/>
            </w:pPr>
            <w:r>
              <w:rPr>
                <w:b/>
                <w:bCs/>
                <w:color w:val="FFFFFF"/>
                <w:sz w:val="20"/>
                <w:szCs w:val="20"/>
              </w:rPr>
              <w:t xml:space="preserve">Desktop</w:t>
            </w:r>
          </w:p>
        </w:tc>
        <w:tc>
          <w:tcPr>
            <w:tcW w:type="dxa" w:w="2600"/>
            <w:shd w:fill="1F2937" w:color="auto" w:val="clear"/>
            <w:tcMar>
              <w:top w:type="dxa" w:w="100"/>
              <w:left w:type="dxa" w:w="120"/>
              <w:bottom w:type="dxa" w:w="100"/>
              <w:right w:type="dxa" w:w="120"/>
            </w:tcMar>
            <w:vAlign w:val="center"/>
          </w:tcPr>
          <w:p>
            <w:pPr>
              <w:jc w:val="center"/>
            </w:pPr>
            <w:r>
              <w:rPr>
                <w:b/>
                <w:bCs/>
                <w:color w:val="FFFFFF"/>
                <w:sz w:val="20"/>
                <w:szCs w:val="20"/>
              </w:rPr>
              <w:t xml:space="preserve">Mobile</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Time to First Byte (TTFB)</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0 ms</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0 ms</w:t>
            </w:r>
          </w:p>
        </w:tc>
      </w:tr>
      <w:tr>
        <w:tc>
          <w:tcPr>
            <w:tcW w:type="dxa" w:w="2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Resource load delay</w:t>
            </w:r>
          </w:p>
        </w:tc>
        <w:tc>
          <w:tcPr>
            <w:tcW w:type="dxa" w:w="26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1,260 ms</w:t>
            </w:r>
          </w:p>
        </w:tc>
        <w:tc>
          <w:tcPr>
            <w:tcW w:type="dxa" w:w="26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1,040 ms</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Resource load duration</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100 ms</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90 ms</w:t>
            </w:r>
          </w:p>
        </w:tc>
      </w:tr>
      <w:tr>
        <w:tc>
          <w:tcPr>
            <w:tcW w:type="dxa" w:w="2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Element render delay</w:t>
            </w:r>
          </w:p>
        </w:tc>
        <w:tc>
          <w:tcPr>
            <w:tcW w:type="dxa" w:w="26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190 ms</w:t>
            </w:r>
          </w:p>
        </w:tc>
        <w:tc>
          <w:tcPr>
            <w:tcW w:type="dxa" w:w="26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1,260 ms</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Total LCP</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3.7 s</w:t>
            </w:r>
          </w:p>
        </w:tc>
        <w:tc>
          <w:tcPr>
            <w:tcW w:type="dxa" w:w="2600"/>
            <w:tcMar>
              <w:top w:type="dxa" w:w="100"/>
              <w:left w:type="dxa" w:w="120"/>
              <w:bottom w:type="dxa" w:w="100"/>
              <w:right w:type="dxa" w:w="120"/>
            </w:tcMar>
            <w:vAlign w:val="center"/>
          </w:tcPr>
          <w:p>
            <w:pPr>
              <w:jc w:val="center"/>
            </w:pPr>
            <w:r>
              <w:rPr>
                <w:b w:val="false"/>
                <w:bCs w:val="false"/>
                <w:color w:val="1F2937"/>
                <w:sz w:val="20"/>
                <w:szCs w:val="20"/>
              </w:rPr>
              <w:t xml:space="preserve">24.5 s</w:t>
            </w:r>
          </w:p>
        </w:tc>
      </w:tr>
    </w:tbl>
    <w:p>
      <w:pPr>
        <w:spacing w:after="150"/>
      </w:pPr>
    </w:p>
    <w:p>
      <w:pPr>
        <w:spacing w:after="150" w:line="276"/>
      </w:pPr>
      <w:r>
        <w:rPr>
          <w:color w:val="1F2937"/>
          <w:sz w:val="21"/>
          <w:szCs w:val="21"/>
        </w:rPr>
        <w:t xml:space="preserve">LCP request-discovery audit results (identical on both platforms):</w:t>
      </w:r>
    </w:p>
    <w:p>
      <w:pPr>
        <w:pStyle w:val="ListParagraph"/>
        <w:numPr>
          <w:ilvl w:val="0"/>
          <w:numId w:val="2"/>
        </w:numPr>
        <w:spacing w:after="90"/>
      </w:pPr>
      <w:r>
        <w:rPr>
          <w:b/>
          <w:bCs/>
          <w:color w:val="1F2937"/>
          <w:sz w:val="21"/>
          <w:szCs w:val="21"/>
        </w:rPr>
        <w:t xml:space="preserve">Pass — </w:t>
      </w:r>
      <w:r>
        <w:rPr>
          <w:color w:val="1F2937"/>
          <w:sz w:val="21"/>
          <w:szCs w:val="21"/>
        </w:rPr>
        <w:t xml:space="preserve">LCP image does not use loading="lazy".</w:t>
      </w:r>
    </w:p>
    <w:p>
      <w:pPr>
        <w:pStyle w:val="ListParagraph"/>
        <w:numPr>
          <w:ilvl w:val="0"/>
          <w:numId w:val="2"/>
        </w:numPr>
        <w:spacing w:after="90"/>
      </w:pPr>
      <w:r>
        <w:rPr>
          <w:b/>
          <w:bCs/>
          <w:color w:val="1F2937"/>
          <w:sz w:val="21"/>
          <w:szCs w:val="21"/>
        </w:rPr>
        <w:t xml:space="preserve">Fail — </w:t>
      </w:r>
      <w:r>
        <w:rPr>
          <w:color w:val="1F2937"/>
          <w:sz w:val="21"/>
          <w:szCs w:val="21"/>
        </w:rPr>
        <w:t xml:space="preserve">fetchpriority="high" is not applied to the LCP image.</w:t>
      </w:r>
    </w:p>
    <w:p>
      <w:pPr>
        <w:pStyle w:val="ListParagraph"/>
        <w:numPr>
          <w:ilvl w:val="0"/>
          <w:numId w:val="2"/>
        </w:numPr>
        <w:spacing w:after="90"/>
      </w:pPr>
      <w:r>
        <w:rPr>
          <w:b/>
          <w:bCs/>
          <w:color w:val="1F2937"/>
          <w:sz w:val="21"/>
          <w:szCs w:val="21"/>
        </w:rPr>
        <w:t xml:space="preserve">Fail — </w:t>
      </w:r>
      <w:r>
        <w:rPr>
          <w:color w:val="1F2937"/>
          <w:sz w:val="21"/>
          <w:szCs w:val="21"/>
        </w:rPr>
        <w:t xml:space="preserve">The LCP image request is not discoverable directly from the initial HTML document (it is resolved only after render-blocking CSS/JS execute).</w:t>
      </w:r>
    </w:p>
    <w:p>
      <w:pPr>
        <w:spacing w:after="150" w:line="276"/>
      </w:pPr>
      <w:r>
        <w:rPr>
          <w:color w:val="1F2937"/>
          <w:sz w:val="21"/>
          <w:szCs w:val="21"/>
        </w:rPr>
        <w:t xml:space="preserve">Root cause: the logo is served at native 1600×1600 resolution but displayed at roughly 80×80–123×123 px, and is not preloaded, not compressed, and not prioritized — so the browser only discovers and requests it after a long chain of blocking CSS/JS on mobile's slower network, then must download 3+ MB before it can paint.</w:t>
      </w:r>
    </w:p>
    <w:p>
      <w:pPr>
        <w:pStyle w:val="Heading3"/>
        <w:spacing w:after="100" w:before="220"/>
      </w:pPr>
      <w:r>
        <w:rPr>
          <w:b/>
          <w:bCs/>
          <w:color w:val="1F2937"/>
          <w:sz w:val="22"/>
          <w:szCs w:val="22"/>
        </w:rPr>
        <w:t xml:space="preserve">4.2 First Contentful Paint (FCP) &amp; Speed Index</w:t>
      </w:r>
    </w:p>
    <w:p>
      <w:pPr>
        <w:spacing w:after="150" w:line="276"/>
      </w:pPr>
      <w:r>
        <w:rPr>
          <w:color w:val="1F2937"/>
          <w:sz w:val="21"/>
          <w:szCs w:val="21"/>
        </w:rPr>
        <w:t xml:space="preserve">FCP moves from 1.1 s (Desktop) to 8.5 s (Mobile); Speed Index shows the same pattern. Both are dragged down by the render-blocking CSS/JS chain (Bootstrap, AOS, Glightbox, Swiper, PureCounter, the contact-form validator, plus JSDelivr's Flowbite bundle and Google Fonts) which must all be fetched before first paint.</w:t>
      </w:r>
    </w:p>
    <w:p>
      <w:pPr>
        <w:pStyle w:val="Heading3"/>
        <w:spacing w:after="100" w:before="220"/>
      </w:pPr>
      <w:r>
        <w:rPr>
          <w:b/>
          <w:bCs/>
          <w:color w:val="1F2937"/>
          <w:sz w:val="22"/>
          <w:szCs w:val="22"/>
        </w:rPr>
        <w:t xml:space="preserve">4.3 Total Blocking Time (TBT) — Good</w:t>
      </w:r>
    </w:p>
    <w:p>
      <w:pPr>
        <w:spacing w:after="150" w:line="276"/>
      </w:pPr>
      <w:r>
        <w:rPr>
          <w:color w:val="1F2937"/>
          <w:sz w:val="21"/>
          <w:szCs w:val="21"/>
        </w:rPr>
        <w:t xml:space="preserve">TBT is 60 ms on Desktop and 0 ms on Mobile — both well within the "Good" threshold. This confirms the performance problem is network/asset-weight driven, not JavaScript execution time. Four (Desktop) and five (Mobile) long main-thread tasks were recorded, the largest attributable to the first-party bundle index-CwQ2MOAq.js and Google Tag Manager, but none is severe enough to block interactivity.</w:t>
      </w:r>
    </w:p>
    <w:p>
      <w:pPr>
        <w:pStyle w:val="Heading3"/>
        <w:spacing w:after="100" w:before="220"/>
      </w:pPr>
      <w:r>
        <w:rPr>
          <w:b/>
          <w:bCs/>
          <w:color w:val="1F2937"/>
          <w:sz w:val="22"/>
          <w:szCs w:val="22"/>
        </w:rPr>
        <w:t xml:space="preserve">4.4 Cumulative Layout Shift (CLS) — Good</w:t>
      </w:r>
    </w:p>
    <w:p>
      <w:pPr>
        <w:spacing w:after="150" w:line="276"/>
      </w:pPr>
      <w:r>
        <w:rPr>
          <w:color w:val="1F2937"/>
          <w:sz w:val="21"/>
          <w:szCs w:val="21"/>
        </w:rPr>
        <w:t xml:space="preserve">CLS is 0.001 (Desktop) and 0 (Mobile), both well within the "Good" threshold. The Desktop report's layout-shift-culprits audit still flagged two low-impact shifting elements for hygiene:</w:t>
      </w:r>
    </w:p>
    <w:p>
      <w:pPr>
        <w:pStyle w:val="ListParagraph"/>
        <w:numPr>
          <w:ilvl w:val="0"/>
          <w:numId w:val="2"/>
        </w:numPr>
        <w:spacing w:after="90"/>
      </w:pPr>
      <w:r>
        <w:rPr>
          <w:b/>
          <w:bCs/>
          <w:color w:val="1F2937"/>
          <w:sz w:val="21"/>
          <w:szCs w:val="21"/>
        </w:rPr>
        <w:t xml:space="preserve">Navigation bar </w:t>
      </w:r>
      <w:r>
        <w:rPr>
          <w:color w:val="1F2937"/>
          <w:sz w:val="21"/>
          <w:szCs w:val="21"/>
        </w:rPr>
        <w:t xml:space="preserve">(Solutions / Smart Compare / Credit Health / Blog / Get in Touch / My Tools / My Account) — shift score 0.001.</w:t>
      </w:r>
    </w:p>
    <w:p>
      <w:pPr>
        <w:pStyle w:val="ListParagraph"/>
        <w:numPr>
          <w:ilvl w:val="0"/>
          <w:numId w:val="2"/>
        </w:numPr>
        <w:spacing w:after="90"/>
      </w:pPr>
      <w:r>
        <w:rPr>
          <w:b/>
          <w:bCs/>
          <w:color w:val="1F2937"/>
          <w:sz w:val="21"/>
          <w:szCs w:val="21"/>
        </w:rPr>
        <w:t xml:space="preserve">Loan amount figure </w:t>
      </w:r>
      <w:r>
        <w:rPr>
          <w:color w:val="1F2937"/>
          <w:sz w:val="21"/>
          <w:szCs w:val="21"/>
        </w:rPr>
        <w:t xml:space="preserve">(₹3,20,00,000, class "text-2xl font-bold text-slate-900") — shift score 0.000.</w:t>
      </w:r>
    </w:p>
    <w:p>
      <w:pPr>
        <w:spacing w:after="150" w:line="276"/>
      </w:pPr>
      <w:r>
        <w:rPr>
          <w:color w:val="1F2937"/>
          <w:sz w:val="21"/>
          <w:szCs w:val="21"/>
        </w:rPr>
        <w:t xml:space="preserve">These are not currently harming the score but should be fixed alongside the missing width/height attributes on images (Section 5.6) to keep CLS stable as content changes.</w:t>
      </w:r>
    </w:p>
    <w:p>
      <w:r>
        <w:br w:type="page"/>
      </w:r>
    </w:p>
    <w:p>
      <w:pPr>
        <w:pStyle w:val="Heading1"/>
        <w:pBdr>
          <w:bottom w:val="single" w:color="2563EB" w:sz="8" w:space="4"/>
        </w:pBdr>
        <w:spacing w:after="200" w:before="400"/>
      </w:pPr>
      <w:r>
        <w:rPr>
          <w:b/>
          <w:bCs/>
          <w:color w:val="1F2937"/>
          <w:sz w:val="32"/>
          <w:szCs w:val="32"/>
        </w:rPr>
        <w:t xml:space="preserve">5. All Issues Identified by PageSpeed Insights</w:t>
      </w:r>
    </w:p>
    <w:p>
      <w:pPr>
        <w:spacing w:after="150" w:line="276"/>
      </w:pPr>
      <w:r>
        <w:rPr>
          <w:color w:val="1F2937"/>
          <w:sz w:val="21"/>
          <w:szCs w:val="21"/>
        </w:rPr>
        <w:t xml:space="preserve">Every opportunity, diagnostic, and audit finding from both reports is documented below with root cause, impact, and remediation.</w:t>
      </w:r>
    </w:p>
    <w:p>
      <w:pPr>
        <w:pStyle w:val="Heading2"/>
        <w:spacing w:after="150" w:before="300"/>
      </w:pPr>
      <w:r>
        <w:rPr>
          <w:b/>
          <w:bCs/>
          <w:color w:val="2563EB"/>
          <w:sz w:val="26"/>
          <w:szCs w:val="26"/>
        </w:rPr>
        <w:t xml:space="preserve">5.1 Performance Issues</w:t>
      </w:r>
    </w:p>
    <w:p>
      <w:pPr>
        <w:pStyle w:val="Heading3"/>
        <w:spacing w:after="100" w:before="220"/>
      </w:pPr>
      <w:r>
        <w:rPr>
          <w:b/>
          <w:bCs/>
          <w:color w:val="DC2626"/>
          <w:sz w:val="22"/>
          <w:szCs w:val="22"/>
        </w:rPr>
        <w:t xml:space="preserve">5.1 Oversized, Unoptimized Logo Image (LCP Element)</w:t>
      </w:r>
    </w:p>
    <w:p>
      <w:pPr>
        <w:spacing w:after="120"/>
      </w:pPr>
      <w:r>
        <w:rPr>
          <w:b/>
          <w:bCs/>
          <w:color w:val="6B7280"/>
          <w:sz w:val="21"/>
          <w:szCs w:val="21"/>
        </w:rPr>
        <w:t xml:space="preserve">Severity: </w:t>
      </w:r>
      <w:r>
        <w:rPr>
          <w:b/>
          <w:bCs/>
          <w:color w:val="DC2626"/>
          <w:sz w:val="21"/>
          <w:szCs w:val="21"/>
        </w:rPr>
        <w:t xml:space="preserve">Critical</w:t>
      </w:r>
      <w:r>
        <w:t xml:space="preserve">     </w:t>
      </w:r>
      <w:r>
        <w:rPr>
          <w:b/>
          <w:bCs/>
          <w:color w:val="6B7280"/>
          <w:sz w:val="21"/>
          <w:szCs w:val="21"/>
        </w:rPr>
        <w:t xml:space="preserve">Occurs on: </w:t>
      </w:r>
      <w:r>
        <w:rPr>
          <w:color w:val="1F2937"/>
          <w:sz w:val="21"/>
          <w:szCs w:val="21"/>
        </w:rPr>
        <w:t xml:space="preserve">Desktop &amp; Mobile</w:t>
      </w:r>
      <w:r>
        <w:t xml:space="preserve">     </w:t>
      </w:r>
      <w:r>
        <w:rPr>
          <w:b/>
          <w:bCs/>
          <w:color w:val="6B7280"/>
          <w:sz w:val="21"/>
          <w:szCs w:val="21"/>
        </w:rPr>
        <w:t xml:space="preserve">Est. savings: </w:t>
      </w:r>
      <w:r>
        <w:rPr>
          <w:color w:val="1F2937"/>
          <w:sz w:val="21"/>
          <w:szCs w:val="21"/>
        </w:rPr>
        <w:t xml:space="preserve">3,205–3,207 KiB</w:t>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header/hero logo (assets/happirateLogo-...png) is a 1600×1600 PNG (~3.1 MB) but is displayed at only ~80×80 px on Desktop and ~123×123 px on Mobile. It is also the page's LCP element, so its full weight sits directly on the critical rendering path.</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Single-handedly responsible for the majority of the Performance score gap; inflates total page weight from ~1 MB of real content to over 4 MB; on throttled mobile networks this alone can account for 15–20+ seconds of LCP delay.</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Slow LCP directly harms Core Web Vitals, which factor into Google Search ranking and Ad Quality Score; users on mobile/4G are likely to bounce before the hero content (loan comparison widget) even paints, reducing conversion on a finance-comparison site where trust and first impression matter.</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Re-export the logo as a properly sized asset (e.g. 240×240 max for the largest rendered instance) and serve responsive sizes via srcset for the 80px and 123px use cases.</w:t>
      </w:r>
    </w:p>
    <w:p>
      <w:pPr>
        <w:pStyle w:val="ListParagraph"/>
        <w:numPr>
          <w:ilvl w:val="0"/>
          <w:numId w:val="2"/>
        </w:numPr>
        <w:spacing w:after="90"/>
      </w:pPr>
      <w:r>
        <w:rPr>
          <w:color w:val="1F2937"/>
          <w:sz w:val="21"/>
          <w:szCs w:val="21"/>
        </w:rPr>
        <w:t xml:space="preserve">Convert to a modern format (WebP or AVIF) with sensible compression — this alone can take a 3.1 MB PNG down to a few KB for a simple logo mark.</w:t>
      </w:r>
    </w:p>
    <w:p>
      <w:pPr>
        <w:pStyle w:val="ListParagraph"/>
        <w:numPr>
          <w:ilvl w:val="0"/>
          <w:numId w:val="2"/>
        </w:numPr>
        <w:spacing w:after="90"/>
      </w:pPr>
      <w:r>
        <w:rPr>
          <w:color w:val="1F2937"/>
          <w:sz w:val="21"/>
          <w:szCs w:val="21"/>
        </w:rPr>
        <w:t xml:space="preserve">Add fetchpriority="high" to the logo &lt;img&gt; tag and ensure the tag is present directly in the initial HTML (not injected via client-side JS) so Lighthouse's LCP-request-discovery audit passes.</w:t>
      </w:r>
    </w:p>
    <w:p>
      <w:pPr>
        <w:pStyle w:val="ListParagraph"/>
        <w:numPr>
          <w:ilvl w:val="0"/>
          <w:numId w:val="2"/>
        </w:numPr>
        <w:spacing w:after="90"/>
      </w:pPr>
      <w:r>
        <w:rPr>
          <w:color w:val="1F2937"/>
          <w:sz w:val="21"/>
          <w:szCs w:val="21"/>
        </w:rPr>
        <w:t xml:space="preserve">Consider an SVG version of the logo if it is largely flat shapes/text — this eliminates raster weight entirely and scales perfectly at any size.</w:t>
      </w:r>
    </w:p>
    <w:p>
      <w:pPr>
        <w:spacing w:after="60" w:before="60"/>
      </w:pPr>
      <w:r>
        <w:rPr>
          <w:b/>
          <w:bCs/>
          <w:color w:val="2563EB"/>
          <w:sz w:val="21"/>
          <w:szCs w:val="21"/>
        </w:rPr>
        <w:t xml:space="preserve">Next.js 15 implementation note: </w:t>
      </w:r>
    </w:p>
    <w:p>
      <w:pPr>
        <w:pStyle w:val="ListParagraph"/>
        <w:numPr>
          <w:ilvl w:val="0"/>
          <w:numId w:val="2"/>
        </w:numPr>
        <w:spacing w:after="90"/>
      </w:pPr>
      <w:r>
        <w:rPr>
          <w:color w:val="1F2937"/>
          <w:sz w:val="21"/>
          <w:szCs w:val="21"/>
        </w:rPr>
        <w:t xml:space="preserve">Use next/image with a fixed width/height (e.g. width={48} height={48}) and priority={true} for the header logo. next/image automatically serves AVIF/WebP with responsive srcset, generates a blur placeholder, and setting priority removes the default lazy-loading so the LCP element is requested immediately from the initial document — directly resolving the fetchpriority and discoverability failures flagged in this report.</w:t>
      </w:r>
    </w:p>
    <w:p>
      <w:pPr>
        <w:spacing w:after="200"/>
      </w:pPr>
    </w:p>
    <w:p>
      <w:pPr>
        <w:pStyle w:val="Heading3"/>
        <w:spacing w:after="100" w:before="220"/>
      </w:pPr>
      <w:r>
        <w:rPr>
          <w:b/>
          <w:bCs/>
          <w:color w:val="D97706"/>
          <w:sz w:val="22"/>
          <w:szCs w:val="22"/>
        </w:rPr>
        <w:t xml:space="preserve">5.2 Render-Blocking Requests</w:t>
      </w:r>
    </w:p>
    <w:p>
      <w:pPr>
        <w:spacing w:after="120"/>
      </w:pPr>
      <w:r>
        <w:rPr>
          <w:b/>
          <w:bCs/>
          <w:color w:val="6B7280"/>
          <w:sz w:val="21"/>
          <w:szCs w:val="21"/>
        </w:rPr>
        <w:t xml:space="preserve">Severity: </w:t>
      </w:r>
      <w:r>
        <w:rPr>
          <w:b/>
          <w:bCs/>
          <w:color w:val="D97706"/>
          <w:sz w:val="21"/>
          <w:szCs w:val="21"/>
        </w:rPr>
        <w:t xml:space="preserve">High</w:t>
      </w:r>
      <w:r>
        <w:t xml:space="preserve">     </w:t>
      </w:r>
      <w:r>
        <w:rPr>
          <w:b/>
          <w:bCs/>
          <w:color w:val="6B7280"/>
          <w:sz w:val="21"/>
          <w:szCs w:val="21"/>
        </w:rPr>
        <w:t xml:space="preserve">Occurs on: </w:t>
      </w:r>
      <w:r>
        <w:rPr>
          <w:color w:val="1F2937"/>
          <w:sz w:val="21"/>
          <w:szCs w:val="21"/>
        </w:rPr>
        <w:t xml:space="preserve">Desktop &amp; Mobile</w:t>
      </w:r>
      <w:r>
        <w:t xml:space="preserve">     </w:t>
      </w:r>
      <w:r>
        <w:rPr>
          <w:b/>
          <w:bCs/>
          <w:color w:val="6B7280"/>
          <w:sz w:val="21"/>
          <w:szCs w:val="21"/>
        </w:rPr>
        <w:t xml:space="preserve">Est. savings: </w:t>
      </w:r>
      <w:r>
        <w:rPr>
          <w:color w:val="1F2937"/>
          <w:sz w:val="21"/>
          <w:szCs w:val="21"/>
        </w:rPr>
        <w:t xml:space="preserve">440 ms (Desktop) / 1,080 ms (Mobile)</w:t>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initial HTML load blocks on a long chain of first-party CSS/JS (index-...css, bootstrap.bundle.min.js, bootstrap-icons.css, main.js, aos.js/aos.css, php-email-form/validate.js, purecounter_vanilla.js, glightbox.min.js, swiper-bundle.min.js/css, main.css) plus third-party JSDelivr (Flowbite) and Google Fonts requests, all fetched synchronously before first paint.</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Delays First Contentful Paint and Largest Contentful Paint; on Mobile this chain alone costs over a second before the page can begin rendering meaningful content.</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Directly worsens perceived load speed and Core Web Vitals scoring used in Google's ranking algorithm; slower time-to-interactive increases bounce rate on landing pages driving loan-comparison traffic.</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Defer or async-load non-critical scripts (AOS animations, Glightbox lightbox, Swiper carousel, PureCounter) so they don't block initial render — they are not needed for first paint.</w:t>
      </w:r>
    </w:p>
    <w:p>
      <w:pPr>
        <w:pStyle w:val="ListParagraph"/>
        <w:numPr>
          <w:ilvl w:val="0"/>
          <w:numId w:val="2"/>
        </w:numPr>
        <w:spacing w:after="90"/>
      </w:pPr>
      <w:r>
        <w:rPr>
          <w:color w:val="1F2937"/>
          <w:sz w:val="21"/>
          <w:szCs w:val="21"/>
        </w:rPr>
        <w:t xml:space="preserve">Inline critical above-the-fold CSS and load the remainder of main.css asynchronously (e.g. via a preload + onload swap pattern).</w:t>
      </w:r>
    </w:p>
    <w:p>
      <w:pPr>
        <w:pStyle w:val="ListParagraph"/>
        <w:numPr>
          <w:ilvl w:val="0"/>
          <w:numId w:val="2"/>
        </w:numPr>
        <w:spacing w:after="90"/>
      </w:pPr>
      <w:r>
        <w:rPr>
          <w:color w:val="1F2937"/>
          <w:sz w:val="21"/>
          <w:szCs w:val="21"/>
        </w:rPr>
        <w:t xml:space="preserve">Bundle/minify the many small first-party CSS/JS files (each currently a separate ~2.4 KiB request) to cut the number of round trips.</w:t>
      </w:r>
    </w:p>
    <w:p>
      <w:pPr>
        <w:pStyle w:val="ListParagraph"/>
        <w:numPr>
          <w:ilvl w:val="0"/>
          <w:numId w:val="2"/>
        </w:numPr>
        <w:spacing w:after="90"/>
      </w:pPr>
      <w:r>
        <w:rPr>
          <w:color w:val="1F2937"/>
          <w:sz w:val="21"/>
          <w:szCs w:val="21"/>
        </w:rPr>
        <w:t xml:space="preserve">Self-host or subset Google Fonts, and load the Flowbite bundle only on pages/components that actually use it.</w:t>
      </w:r>
    </w:p>
    <w:p>
      <w:pPr>
        <w:spacing w:after="60" w:before="60"/>
      </w:pPr>
      <w:r>
        <w:rPr>
          <w:b/>
          <w:bCs/>
          <w:color w:val="2563EB"/>
          <w:sz w:val="21"/>
          <w:szCs w:val="21"/>
        </w:rPr>
        <w:t xml:space="preserve">Next.js 15 implementation note: </w:t>
      </w:r>
    </w:p>
    <w:p>
      <w:pPr>
        <w:pStyle w:val="ListParagraph"/>
        <w:numPr>
          <w:ilvl w:val="0"/>
          <w:numId w:val="2"/>
        </w:numPr>
        <w:spacing w:after="90"/>
      </w:pPr>
      <w:r>
        <w:rPr>
          <w:color w:val="1F2937"/>
          <w:sz w:val="21"/>
          <w:szCs w:val="21"/>
        </w:rPr>
        <w:t xml:space="preserve">Migrate third-party widgets (Flowbite, Swiper, Glightbox, AOS) to be dynamically imported client components with next/dynamic and ssr:false, loaded only when their section is needed. Use next/font for Google Fonts so fonts are self-hosted, subset, and injected without a render-blocking network request.</w:t>
      </w:r>
    </w:p>
    <w:p>
      <w:pPr>
        <w:spacing w:after="200"/>
      </w:pPr>
    </w:p>
    <w:p>
      <w:pPr>
        <w:pStyle w:val="Heading3"/>
        <w:spacing w:after="100" w:before="220"/>
      </w:pPr>
      <w:r>
        <w:rPr>
          <w:b/>
          <w:bCs/>
          <w:color w:val="D97706"/>
          <w:sz w:val="22"/>
          <w:szCs w:val="22"/>
        </w:rPr>
        <w:t xml:space="preserve">5.3 Unused JavaScript</w:t>
      </w:r>
    </w:p>
    <w:p>
      <w:pPr>
        <w:spacing w:after="120"/>
      </w:pPr>
      <w:r>
        <w:rPr>
          <w:b/>
          <w:bCs/>
          <w:color w:val="6B7280"/>
          <w:sz w:val="21"/>
          <w:szCs w:val="21"/>
        </w:rPr>
        <w:t xml:space="preserve">Severity: </w:t>
      </w:r>
      <w:r>
        <w:rPr>
          <w:b/>
          <w:bCs/>
          <w:color w:val="D97706"/>
          <w:sz w:val="21"/>
          <w:szCs w:val="21"/>
        </w:rPr>
        <w:t xml:space="preserve">High</w:t>
      </w:r>
      <w:r>
        <w:t xml:space="preserve">     </w:t>
      </w:r>
      <w:r>
        <w:rPr>
          <w:b/>
          <w:bCs/>
          <w:color w:val="6B7280"/>
          <w:sz w:val="21"/>
          <w:szCs w:val="21"/>
        </w:rPr>
        <w:t xml:space="preserve">Occurs on: </w:t>
      </w:r>
      <w:r>
        <w:rPr>
          <w:color w:val="1F2937"/>
          <w:sz w:val="21"/>
          <w:szCs w:val="21"/>
        </w:rPr>
        <w:t xml:space="preserve">Desktop &amp; Mobile</w:t>
      </w:r>
      <w:r>
        <w:t xml:space="preserve">     </w:t>
      </w:r>
      <w:r>
        <w:rPr>
          <w:b/>
          <w:bCs/>
          <w:color w:val="6B7280"/>
          <w:sz w:val="21"/>
          <w:szCs w:val="21"/>
        </w:rPr>
        <w:t xml:space="preserve">Est. savings: </w:t>
      </w:r>
      <w:r>
        <w:rPr>
          <w:color w:val="1F2937"/>
          <w:sz w:val="21"/>
          <w:szCs w:val="21"/>
        </w:rPr>
        <w:t xml:space="preserve">535 KiB (Desktop) / 591 KiB (Mobile)</w:t>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main first-party bundle (index-CwQ2MOAq.js, 654.9 KiB) ships ~438 KiB of code that is never executed on this page. Google Tag Manager (72.7 KiB) and JSDelivr's Flowbite bundle (datepicker, drawer, modal, dropdown modules, 24.5 KiB) also load in full even though only a subset of components is used on the homepage.</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Increases download, parse, and compile time on every page load; contributes to main-thread work (2.3 s total on Mobile per the 'Minimize main-thread work' diagnostic) and to the long-task list.</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Wasted bandwidth costs mobile users data and battery, and adds latency that compounds the LCP problem described above; increases hosting/CDN egress costs at scale.</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Code-split the main bundle so route-specific and rarely-used logic (modals, date pickers, drawers not used on this page) load on demand rather than in the initial chunk.</w:t>
      </w:r>
    </w:p>
    <w:p>
      <w:pPr>
        <w:pStyle w:val="ListParagraph"/>
        <w:numPr>
          <w:ilvl w:val="0"/>
          <w:numId w:val="2"/>
        </w:numPr>
        <w:spacing w:after="90"/>
      </w:pPr>
      <w:r>
        <w:rPr>
          <w:color w:val="1F2937"/>
          <w:sz w:val="21"/>
          <w:szCs w:val="21"/>
        </w:rPr>
        <w:t xml:space="preserve">Audit and remove dead code/unused imports from index-CwQ2MOAq.js — a 654.9 KiB single bundle for a marketing/comparison homepage is unusually large.</w:t>
      </w:r>
    </w:p>
    <w:p>
      <w:pPr>
        <w:pStyle w:val="ListParagraph"/>
        <w:numPr>
          <w:ilvl w:val="0"/>
          <w:numId w:val="2"/>
        </w:numPr>
        <w:spacing w:after="90"/>
      </w:pPr>
      <w:r>
        <w:rPr>
          <w:color w:val="1F2937"/>
          <w:sz w:val="21"/>
          <w:szCs w:val="21"/>
        </w:rPr>
        <w:t xml:space="preserve">Load Google Tag Manager and Flowbite modules lazily after the page becomes interactive (e.g. on requestIdleCallback or after first user interaction) rather than in the critical path.</w:t>
      </w:r>
    </w:p>
    <w:p>
      <w:pPr>
        <w:spacing w:after="60" w:before="60"/>
      </w:pPr>
      <w:r>
        <w:rPr>
          <w:b/>
          <w:bCs/>
          <w:color w:val="2563EB"/>
          <w:sz w:val="21"/>
          <w:szCs w:val="21"/>
        </w:rPr>
        <w:t xml:space="preserve">Next.js 15 implementation note: </w:t>
      </w:r>
    </w:p>
    <w:p>
      <w:pPr>
        <w:pStyle w:val="ListParagraph"/>
        <w:numPr>
          <w:ilvl w:val="0"/>
          <w:numId w:val="2"/>
        </w:numPr>
        <w:spacing w:after="90"/>
      </w:pPr>
      <w:r>
        <w:rPr>
          <w:color w:val="1F2937"/>
          <w:sz w:val="21"/>
          <w:szCs w:val="21"/>
        </w:rPr>
        <w:t xml:space="preserve">Next.js 15's App Router automatically code-splits per route; combine this with next/dynamic for heavy client components and the @next/bundle-analyzer to identify and trim unused code inside the current single-bundle build before migrating.</w:t>
      </w:r>
    </w:p>
    <w:p>
      <w:pPr>
        <w:spacing w:after="200"/>
      </w:pPr>
    </w:p>
    <w:p>
      <w:pPr>
        <w:pStyle w:val="Heading3"/>
        <w:spacing w:after="100" w:before="220"/>
      </w:pPr>
      <w:r>
        <w:rPr>
          <w:b/>
          <w:bCs/>
          <w:color w:val="2563EB"/>
          <w:sz w:val="22"/>
          <w:szCs w:val="22"/>
        </w:rPr>
        <w:t xml:space="preserve">5.4 Forced Reflow</w:t>
      </w:r>
    </w:p>
    <w:p>
      <w:pPr>
        <w:spacing w:after="120"/>
      </w:pPr>
      <w:r>
        <w:rPr>
          <w:b/>
          <w:bCs/>
          <w:color w:val="6B7280"/>
          <w:sz w:val="21"/>
          <w:szCs w:val="21"/>
        </w:rPr>
        <w:t xml:space="preserve">Severity: </w:t>
      </w:r>
      <w:r>
        <w:rPr>
          <w:b/>
          <w:bCs/>
          <w:color w:val="2563EB"/>
          <w:sz w:val="21"/>
          <w:szCs w:val="21"/>
        </w:rPr>
        <w:t xml:space="preserve">Medium</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index-CwQ2MOAq.js queries geometric DOM properties (e.g. offsetWidth) immediately after changing styles, forcing the browser to synchronously recalculate layout instead of batching it. The audit attributes 73 ms (Desktop) / 56 ms (Mobile) of total reflow time to this file, concentrated in one function call.</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Adds unnecessary main-thread work and can contribute to jank during interaction, though it is not yet large enough to move the TBT score out of the 'Good' range.</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Low immediate business impact today, but will compound as more interactive widgets (loan calculators, filters) are added to the page.</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Batch DOM reads and writes separately — read all needed layout properties first, then perform style/DOM writes, to avoid layout thrashing.</w:t>
      </w:r>
    </w:p>
    <w:p>
      <w:pPr>
        <w:pStyle w:val="ListParagraph"/>
        <w:numPr>
          <w:ilvl w:val="0"/>
          <w:numId w:val="2"/>
        </w:numPr>
        <w:spacing w:after="90"/>
      </w:pPr>
      <w:r>
        <w:rPr>
          <w:color w:val="1F2937"/>
          <w:sz w:val="21"/>
          <w:szCs w:val="21"/>
        </w:rPr>
        <w:t xml:space="preserve">Use requestAnimationFrame to schedule layout-dependent work, and cache measured values instead of re-querying them on every interaction.</w:t>
      </w:r>
    </w:p>
    <w:p>
      <w:pPr>
        <w:spacing w:after="200"/>
      </w:pPr>
    </w:p>
    <w:p>
      <w:pPr>
        <w:pStyle w:val="Heading3"/>
        <w:spacing w:after="100" w:before="220"/>
      </w:pPr>
      <w:r>
        <w:rPr>
          <w:b/>
          <w:bCs/>
          <w:color w:val="2563EB"/>
          <w:sz w:val="22"/>
          <w:szCs w:val="22"/>
        </w:rPr>
        <w:t xml:space="preserve">5.5 Network Dependency Tree / Critical Path Latency</w:t>
      </w:r>
    </w:p>
    <w:p>
      <w:pPr>
        <w:spacing w:after="120"/>
      </w:pPr>
      <w:r>
        <w:rPr>
          <w:b/>
          <w:bCs/>
          <w:color w:val="6B7280"/>
          <w:sz w:val="21"/>
          <w:szCs w:val="21"/>
        </w:rPr>
        <w:t xml:space="preserve">Severity: </w:t>
      </w:r>
      <w:r>
        <w:rPr>
          <w:b/>
          <w:bCs/>
          <w:color w:val="2563EB"/>
          <w:sz w:val="21"/>
          <w:szCs w:val="21"/>
        </w:rPr>
        <w:t xml:space="preserve">Medium</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Maximum critical-path latency is 974 ms (Desktop) and 1,473 ms (Mobile) due to a long, largely sequential chain of first-party CSS/JS and Google Fonts requests before the page can finish its initial render pass.</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Extends the critical path that FCP/LCP must wait on; mobile's chain is further lengthened by a Firebase Auth 'getProjectConfig' request (1,473 ms) inserted mid-chain.</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Every additional hop in the critical path adds real-world latency for users on slower connections, disproportionately affecting the mobile audience.</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Flatten the dependency chain by reducing the number of render-blocking resources (see Section 5.2) and combining/minifying first-party files.</w:t>
      </w:r>
    </w:p>
    <w:p>
      <w:pPr>
        <w:pStyle w:val="ListParagraph"/>
        <w:numPr>
          <w:ilvl w:val="0"/>
          <w:numId w:val="2"/>
        </w:numPr>
        <w:spacing w:after="90"/>
      </w:pPr>
      <w:r>
        <w:rPr>
          <w:color w:val="1F2937"/>
          <w:sz w:val="21"/>
          <w:szCs w:val="21"/>
        </w:rPr>
        <w:t xml:space="preserve">Defer Firebase Authentication initialization until it's actually needed (e.g. on a login/signup interaction) instead of on initial page load.</w:t>
      </w:r>
    </w:p>
    <w:p>
      <w:pPr>
        <w:spacing w:after="200"/>
      </w:pPr>
    </w:p>
    <w:p>
      <w:pPr>
        <w:pStyle w:val="Heading3"/>
        <w:spacing w:after="100" w:before="220"/>
      </w:pPr>
      <w:r>
        <w:rPr>
          <w:b/>
          <w:bCs/>
          <w:color w:val="6B7280"/>
          <w:sz w:val="22"/>
          <w:szCs w:val="22"/>
        </w:rPr>
        <w:t xml:space="preserve">5.6 Preconnect Hints — Unused &amp; Missing</w:t>
      </w:r>
    </w:p>
    <w:p>
      <w:pPr>
        <w:spacing w:after="120"/>
      </w:pPr>
      <w:r>
        <w:rPr>
          <w:b/>
          <w:bCs/>
          <w:color w:val="6B7280"/>
          <w:sz w:val="21"/>
          <w:szCs w:val="21"/>
        </w:rPr>
        <w:t xml:space="preserve">Severity: </w:t>
      </w:r>
      <w:r>
        <w:rPr>
          <w:b/>
          <w:bCs/>
          <w:color w:val="6B7280"/>
          <w:sz w:val="21"/>
          <w:szCs w:val="21"/>
        </w:rPr>
        <w:t xml:space="preserve">Low</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page preconnects to https://api.happirate.com and https://fonts.gstatic.com, but neither origin is actually requested early enough to benefit — Lighthouse flags both as 'unused preconnect.' Conversely, on Mobile, four origins that are requested (node-happirate-server.vercel.app, happirate.firebaseapp.com, apis.google.com, www.googleapis.com) have no preconnect hint at all, with estimated LCP savings of up to 360 ms each.</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Wastes a limited resource (browsers cap effective early connections) on origins that don't need it, while origins that do need early connections pay full DNS+TLS handshake cost later in the load.</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Missed, low-cost opportunity to shave hundreds of milliseconds off LCP on mobile with a one-line HTML change.</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Remove the preconnect hints for api.happirate.com and fonts.gstatic.com if they aren't requested early in the page lifecycle, or move the requests earlier if they are needed.</w:t>
      </w:r>
    </w:p>
    <w:p>
      <w:pPr>
        <w:pStyle w:val="ListParagraph"/>
        <w:numPr>
          <w:ilvl w:val="0"/>
          <w:numId w:val="2"/>
        </w:numPr>
        <w:spacing w:after="90"/>
      </w:pPr>
      <w:r>
        <w:rPr>
          <w:color w:val="1F2937"/>
          <w:sz w:val="21"/>
          <w:szCs w:val="21"/>
        </w:rPr>
        <w:t xml:space="preserve">Add &lt;link rel="preconnect"&gt; for node-happirate-server.vercel.app, happirate.firebaseapp.com, apis.google.com, and www.googleapis.com — capped at 4 total preconnects as Lighthouse recommends.</w:t>
      </w:r>
    </w:p>
    <w:p>
      <w:pPr>
        <w:spacing w:after="200"/>
      </w:pPr>
    </w:p>
    <w:p>
      <w:pPr>
        <w:pStyle w:val="Heading3"/>
        <w:spacing w:after="100" w:before="220"/>
      </w:pPr>
      <w:r>
        <w:rPr>
          <w:b/>
          <w:bCs/>
          <w:color w:val="6B7280"/>
          <w:sz w:val="22"/>
          <w:szCs w:val="22"/>
        </w:rPr>
        <w:t xml:space="preserve">5.7 Layout Shift Culprits (Hygiene)</w:t>
      </w:r>
    </w:p>
    <w:p>
      <w:pPr>
        <w:spacing w:after="120"/>
      </w:pPr>
      <w:r>
        <w:rPr>
          <w:b/>
          <w:bCs/>
          <w:color w:val="6B7280"/>
          <w:sz w:val="21"/>
          <w:szCs w:val="21"/>
        </w:rPr>
        <w:t xml:space="preserve">Severity: </w:t>
      </w:r>
      <w:r>
        <w:rPr>
          <w:b/>
          <w:bCs/>
          <w:color w:val="6B7280"/>
          <w:sz w:val="21"/>
          <w:szCs w:val="21"/>
        </w:rPr>
        <w:t xml:space="preserve">Low</w:t>
      </w:r>
      <w:r>
        <w:t xml:space="preserve">     </w:t>
      </w:r>
      <w:r>
        <w:rPr>
          <w:b/>
          <w:bCs/>
          <w:color w:val="6B7280"/>
          <w:sz w:val="21"/>
          <w:szCs w:val="21"/>
        </w:rPr>
        <w:t xml:space="preserve">Occurs on: </w:t>
      </w:r>
      <w:r>
        <w:rPr>
          <w:color w:val="1F2937"/>
          <w:sz w:val="21"/>
          <w:szCs w:val="21"/>
        </w:rPr>
        <w:t xml:space="preserve">Desktop (surfaced explicitly; same elements apply on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top navigation bar and the ₹3,20,00,000 loan-amount figure shift slightly as the page loads, contributing a combined CLS of 0.001 — technically negligible today.</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None currently measurable in the score, but is an early warning sign that these elements lack reserved layout space.</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Minimal today; worth fixing proactively before it regresses as more dynamic content (personalized loan offers) is added.</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Reserve explicit width/height (or aspect-ratio) for the navigation bar and the dynamic loan-amount figure so their final size is known before content populates.</w:t>
      </w:r>
    </w:p>
    <w:p>
      <w:pPr>
        <w:spacing w:after="200"/>
      </w:pPr>
    </w:p>
    <w:p>
      <w:pPr>
        <w:pStyle w:val="Heading3"/>
        <w:spacing w:after="100" w:before="220"/>
      </w:pPr>
      <w:r>
        <w:rPr>
          <w:b/>
          <w:bCs/>
          <w:color w:val="6B7280"/>
          <w:sz w:val="22"/>
          <w:szCs w:val="22"/>
        </w:rPr>
        <w:t xml:space="preserve">5.8 Cache Lifetimes for Firebase Auth Iframe</w:t>
      </w:r>
    </w:p>
    <w:p>
      <w:pPr>
        <w:spacing w:after="120"/>
      </w:pPr>
      <w:r>
        <w:rPr>
          <w:b/>
          <w:bCs/>
          <w:color w:val="6B7280"/>
          <w:sz w:val="21"/>
          <w:szCs w:val="21"/>
        </w:rPr>
        <w:t xml:space="preserve">Severity: </w:t>
      </w:r>
      <w:r>
        <w:rPr>
          <w:b/>
          <w:bCs/>
          <w:color w:val="6B7280"/>
          <w:sz w:val="21"/>
          <w:szCs w:val="21"/>
        </w:rPr>
        <w:t xml:space="preserve">Low</w:t>
      </w:r>
      <w:r>
        <w:t xml:space="preserve">     </w:t>
      </w:r>
      <w:r>
        <w:rPr>
          <w:b/>
          <w:bCs/>
          <w:color w:val="6B7280"/>
          <w:sz w:val="21"/>
          <w:szCs w:val="21"/>
        </w:rPr>
        <w:t xml:space="preserve">Occurs on: </w:t>
      </w:r>
      <w:r>
        <w:rPr>
          <w:color w:val="1F2937"/>
          <w:sz w:val="21"/>
          <w:szCs w:val="21"/>
        </w:rPr>
        <w:t xml:space="preserve">Mobile</w:t>
      </w:r>
      <w:r>
        <w:t xml:space="preserve">     </w:t>
      </w:r>
      <w:r>
        <w:rPr>
          <w:b/>
          <w:bCs/>
          <w:color w:val="6B7280"/>
          <w:sz w:val="21"/>
          <w:szCs w:val="21"/>
        </w:rPr>
        <w:t xml:space="preserve">Est. savings: </w:t>
      </w:r>
      <w:r>
        <w:rPr>
          <w:color w:val="1F2937"/>
          <w:sz w:val="21"/>
          <w:szCs w:val="21"/>
        </w:rPr>
        <w:t xml:space="preserve">80 KiB (Mobile)</w:t>
      </w:r>
    </w:p>
    <w:p>
      <w:pPr>
        <w:pStyle w:val="ListParagraph"/>
        <w:numPr>
          <w:ilvl w:val="0"/>
          <w:numId w:val="2"/>
        </w:numPr>
        <w:spacing w:after="90"/>
      </w:pPr>
      <w:r>
        <w:rPr>
          <w:b/>
          <w:bCs/>
          <w:color w:val="1F2937"/>
          <w:sz w:val="21"/>
          <w:szCs w:val="21"/>
        </w:rPr>
        <w:t xml:space="preserve">Root cause: </w:t>
      </w:r>
      <w:r>
        <w:rPr>
          <w:color w:val="1F2937"/>
          <w:sz w:val="21"/>
          <w:szCs w:val="21"/>
        </w:rPr>
        <w:t xml:space="preserve">firebaseapp.com's auth/iframe.js is served with only a 30-minute cache TTL, forcing frequent re-downloads of a 93 KiB script that rarely changes.</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Adds unnecessary repeat-visit network cost; not controllable from HappiRate's own server since it's a Firebase-hosted asset, but the request can be deferred.</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Small but real recurring bandwidth cost for returning visitors.</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Defer loading the Firebase Auth iframe until an authentication action is triggered (e.g. clicking 'My Account' or 'Login'), rather than loading it unconditionally on every page view.</w:t>
      </w:r>
    </w:p>
    <w:p>
      <w:pPr>
        <w:spacing w:after="200"/>
      </w:pPr>
    </w:p>
    <w:p>
      <w:pPr>
        <w:pStyle w:val="Heading3"/>
        <w:spacing w:after="100" w:before="220"/>
      </w:pPr>
      <w:r>
        <w:rPr>
          <w:b/>
          <w:bCs/>
          <w:color w:val="2563EB"/>
          <w:sz w:val="22"/>
          <w:szCs w:val="22"/>
        </w:rPr>
        <w:t xml:space="preserve">5.9 Images Missing Explicit Width/Height</w:t>
      </w:r>
    </w:p>
    <w:p>
      <w:pPr>
        <w:spacing w:after="120"/>
      </w:pPr>
      <w:r>
        <w:rPr>
          <w:b/>
          <w:bCs/>
          <w:color w:val="6B7280"/>
          <w:sz w:val="21"/>
          <w:szCs w:val="21"/>
        </w:rPr>
        <w:t xml:space="preserve">Severity: </w:t>
      </w:r>
      <w:r>
        <w:rPr>
          <w:b/>
          <w:bCs/>
          <w:color w:val="2563EB"/>
          <w:sz w:val="21"/>
          <w:szCs w:val="21"/>
        </w:rPr>
        <w:t xml:space="preserve">Medium</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Happirate text logo (image-DRjg_lcE.png) is rendered without explicit width and height attributes, so the browser cannot reserve its layout space before the image loads.</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Increases CLS risk, especially on slower connections where the image loads later relative to surrounding text.</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Currently masked by the overall low CLS score, but is a latent risk that could regress the score as load conditions vary.</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Add explicit width and height attributes (or CSS aspect-ratio) to every &lt;img&gt; tag, including the text logo, so the browser can reserve space immediately.</w:t>
      </w:r>
    </w:p>
    <w:p>
      <w:pPr>
        <w:spacing w:after="60" w:before="60"/>
      </w:pPr>
      <w:r>
        <w:rPr>
          <w:b/>
          <w:bCs/>
          <w:color w:val="2563EB"/>
          <w:sz w:val="21"/>
          <w:szCs w:val="21"/>
        </w:rPr>
        <w:t xml:space="preserve">Next.js 15 implementation note: </w:t>
      </w:r>
    </w:p>
    <w:p>
      <w:pPr>
        <w:pStyle w:val="ListParagraph"/>
        <w:numPr>
          <w:ilvl w:val="0"/>
          <w:numId w:val="2"/>
        </w:numPr>
        <w:spacing w:after="90"/>
      </w:pPr>
      <w:r>
        <w:rPr>
          <w:color w:val="1F2937"/>
          <w:sz w:val="21"/>
          <w:szCs w:val="21"/>
        </w:rPr>
        <w:t xml:space="preserve">next/image requires width and height (or fill with a sized parent) by default, which eliminates this class of issue automatically once the logo images are migrated.</w:t>
      </w:r>
    </w:p>
    <w:p>
      <w:pPr>
        <w:spacing w:after="200"/>
      </w:pPr>
    </w:p>
    <w:p>
      <w:pPr>
        <w:pStyle w:val="Heading2"/>
        <w:spacing w:after="150" w:before="300"/>
      </w:pPr>
      <w:r>
        <w:rPr>
          <w:b/>
          <w:bCs/>
          <w:color w:val="2563EB"/>
          <w:sz w:val="26"/>
          <w:szCs w:val="26"/>
        </w:rPr>
        <w:t xml:space="preserve">5.2 Best Practices Issues</w:t>
      </w:r>
    </w:p>
    <w:p>
      <w:pPr>
        <w:pStyle w:val="Heading3"/>
        <w:spacing w:after="100" w:before="220"/>
      </w:pPr>
      <w:r>
        <w:rPr>
          <w:b/>
          <w:bCs/>
          <w:color w:val="DC2626"/>
          <w:sz w:val="22"/>
          <w:szCs w:val="22"/>
        </w:rPr>
        <w:t xml:space="preserve">5.10 First-Party Scripts Returning HTML Instead of JavaScript (Console Errors)</w:t>
      </w:r>
    </w:p>
    <w:p>
      <w:pPr>
        <w:spacing w:after="120"/>
      </w:pPr>
      <w:r>
        <w:rPr>
          <w:b/>
          <w:bCs/>
          <w:color w:val="6B7280"/>
          <w:sz w:val="21"/>
          <w:szCs w:val="21"/>
        </w:rPr>
        <w:t xml:space="preserve">Severity: </w:t>
      </w:r>
      <w:r>
        <w:rPr>
          <w:b/>
          <w:bCs/>
          <w:color w:val="DC2626"/>
          <w:sz w:val="21"/>
          <w:szCs w:val="21"/>
        </w:rPr>
        <w:t xml:space="preserve">Critical</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browser console logs 'SyntaxError: Unexpected token &lt;' for bootstrap.bundle.min.js, php-email-form/validate.js, aos/aos.js, glightbox.min.js, swiper-bundle.min.js, and purecounter_vanilla.js — this error pattern means the server responded to each of these JS requests with an HTML document (typically a 404 error page or a redirect page) instead of the actual script. A separate error shows a Google Fonts stylesheet request also being refused for returning the wrong MIME type (text/html instead of text/css).</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Any of these scripts failing to load silently breaks the feature it powers: Bootstrap components, the contact form's client-side validation (validate.js), scroll animations (AOS), the image lightbox (Glightbox), the testimonial/logo carousel (Swiper), and animated counters (PureCounter). This is a functional defect, not just a performance one.</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If the contact/lead form's validation script is genuinely broken, this can silently block or corrupt lead submissions on a lead-generation site — a direct revenue risk. Broken carousels/lightboxes also degrade the professional appearance of a financial comparison platform where trust is critical.</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Reproduce each failing request directly (e.g. curl -I on each asset URL) to confirm whether it 404s, redirects, or is blocked by a routing/rewrite rule.</w:t>
      </w:r>
    </w:p>
    <w:p>
      <w:pPr>
        <w:pStyle w:val="ListParagraph"/>
        <w:numPr>
          <w:ilvl w:val="0"/>
          <w:numId w:val="2"/>
        </w:numPr>
        <w:spacing w:after="90"/>
      </w:pPr>
      <w:r>
        <w:rPr>
          <w:color w:val="1F2937"/>
          <w:sz w:val="21"/>
          <w:szCs w:val="21"/>
        </w:rPr>
        <w:t xml:space="preserve">Check deployment configuration (Vercel rewrites/redirects, CDN routing, or a catch-all route) that may be intercepting static asset requests and serving the SPA fallback HTML instead of the actual file.</w:t>
      </w:r>
    </w:p>
    <w:p>
      <w:pPr>
        <w:pStyle w:val="ListParagraph"/>
        <w:numPr>
          <w:ilvl w:val="0"/>
          <w:numId w:val="2"/>
        </w:numPr>
        <w:spacing w:after="90"/>
      </w:pPr>
      <w:r>
        <w:rPr>
          <w:color w:val="1F2937"/>
          <w:sz w:val="21"/>
          <w:szCs w:val="21"/>
        </w:rPr>
        <w:t xml:space="preserve">Verify the build pipeline is correctly outputting and deploying these vendor script paths, and that asset paths referenced in HTML match the deployed file structure exactly (case sensitivity, trailing slashes, hashed filenames).</w:t>
      </w:r>
    </w:p>
    <w:p>
      <w:pPr>
        <w:pStyle w:val="ListParagraph"/>
        <w:numPr>
          <w:ilvl w:val="0"/>
          <w:numId w:val="2"/>
        </w:numPr>
        <w:spacing w:after="90"/>
      </w:pPr>
      <w:r>
        <w:rPr>
          <w:color w:val="1F2937"/>
          <w:sz w:val="21"/>
          <w:szCs w:val="21"/>
        </w:rPr>
        <w:t xml:space="preserve">Treat this as P0 — validate the contact form still functions correctly end-to-end (this aligns with the existing Playwright + Claude Code MCP test suite already covering form validation, which should be re-run against production).</w:t>
      </w:r>
    </w:p>
    <w:p>
      <w:pPr>
        <w:spacing w:after="200"/>
      </w:pPr>
    </w:p>
    <w:p>
      <w:pPr>
        <w:pStyle w:val="Heading3"/>
        <w:spacing w:after="100" w:before="220"/>
      </w:pPr>
      <w:r>
        <w:rPr>
          <w:b/>
          <w:bCs/>
          <w:color w:val="6B7280"/>
          <w:sz w:val="22"/>
          <w:szCs w:val="22"/>
        </w:rPr>
        <w:t xml:space="preserve">5.11 Missing Source Maps for Large First-Party JavaScript</w:t>
      </w:r>
    </w:p>
    <w:p>
      <w:pPr>
        <w:spacing w:after="120"/>
      </w:pPr>
      <w:r>
        <w:rPr>
          <w:b/>
          <w:bCs/>
          <w:color w:val="6B7280"/>
          <w:sz w:val="21"/>
          <w:szCs w:val="21"/>
        </w:rPr>
        <w:t xml:space="preserve">Severity: </w:t>
      </w:r>
      <w:r>
        <w:rPr>
          <w:b/>
          <w:bCs/>
          <w:color w:val="6B7280"/>
          <w:sz w:val="21"/>
          <w:szCs w:val="21"/>
        </w:rPr>
        <w:t xml:space="preserve">Low</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index-CwQ2MOAq.js (the large first-party bundle) is deployed without an accompanying source map, unlike the third-party JSDelivr Flowbite bundle which does ship one.</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Makes production debugging significantly harder — stack traces and error reports reference minified code.</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Slower incident response/debugging time for the engineering team; no direct user-facing impact.</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Enable source map generation in the production build (e.g. sourcemap: true in the bundler config) and upload/host the maps alongside the deployed JS, or restrict them to internal error-tracking tools if hiding source from the public is a concern.</w:t>
      </w:r>
    </w:p>
    <w:p>
      <w:pPr>
        <w:spacing w:after="200"/>
      </w:pPr>
    </w:p>
    <w:p>
      <w:pPr>
        <w:pStyle w:val="Heading3"/>
        <w:spacing w:after="100" w:before="220"/>
      </w:pPr>
      <w:r>
        <w:rPr>
          <w:b/>
          <w:bCs/>
          <w:color w:val="2563EB"/>
          <w:sz w:val="22"/>
          <w:szCs w:val="22"/>
        </w:rPr>
        <w:t xml:space="preserve">5.12 Trust &amp; Safety Checks Not Yet Verified (CSP, HSTS, COOP, Clickjacking, Trusted Types)</w:t>
      </w:r>
    </w:p>
    <w:p>
      <w:pPr>
        <w:spacing w:after="120"/>
      </w:pPr>
      <w:r>
        <w:rPr>
          <w:b/>
          <w:bCs/>
          <w:color w:val="6B7280"/>
          <w:sz w:val="21"/>
          <w:szCs w:val="21"/>
        </w:rPr>
        <w:t xml:space="preserve">Severity: </w:t>
      </w:r>
      <w:r>
        <w:rPr>
          <w:b/>
          <w:bCs/>
          <w:color w:val="2563EB"/>
          <w:sz w:val="21"/>
          <w:szCs w:val="21"/>
        </w:rPr>
        <w:t xml:space="preserve">Medium</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Lighthouse lists five Trust &amp; Safety checks — Content-Security-Policy effectiveness against XSS, HSTS policy strength, cross-origin isolation (COOP), clickjacking mitigation (X-Frame-Options/CSP), and DOM-based XSS mitigation via Trusted Types — as unscored/not-yet-evaluated items requiring manual verification rather than as explicit failures.</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Without a strong CSP, HSTS, and clickjacking protection, the site carries a higher baseline risk profile for XSS and framing attacks, which matters more for a platform that will eventually handle financial/personal data.</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Security posture directly affects user trust on a financial comparison platform, and gaps here can become compliance concerns as the product matures (e.g. handling KYC or loan application data).</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Audit current response headers (curl -I https://happirate.com) for Content-Security-Policy, Strict-Transport-Security, X-Frame-Options/frame-ancestors, and Cross-Origin-Opener-Policy.</w:t>
      </w:r>
    </w:p>
    <w:p>
      <w:pPr>
        <w:pStyle w:val="ListParagraph"/>
        <w:numPr>
          <w:ilvl w:val="0"/>
          <w:numId w:val="2"/>
        </w:numPr>
        <w:spacing w:after="90"/>
      </w:pPr>
      <w:r>
        <w:rPr>
          <w:color w:val="1F2937"/>
          <w:sz w:val="21"/>
          <w:szCs w:val="21"/>
        </w:rPr>
        <w:t xml:space="preserve">Introduce a baseline CSP (start in report-only mode to avoid breaking the third-party scripts already in use, then tighten).</w:t>
      </w:r>
    </w:p>
    <w:p>
      <w:pPr>
        <w:pStyle w:val="ListParagraph"/>
        <w:numPr>
          <w:ilvl w:val="0"/>
          <w:numId w:val="2"/>
        </w:numPr>
        <w:spacing w:after="90"/>
      </w:pPr>
      <w:r>
        <w:rPr>
          <w:color w:val="1F2937"/>
          <w:sz w:val="21"/>
          <w:szCs w:val="21"/>
        </w:rPr>
        <w:t xml:space="preserve">Add a strong HSTS header (includeSubDomains; preload) once HTTPS is confirmed stable across all subdomains.</w:t>
      </w:r>
    </w:p>
    <w:p>
      <w:pPr>
        <w:pStyle w:val="ListParagraph"/>
        <w:numPr>
          <w:ilvl w:val="0"/>
          <w:numId w:val="2"/>
        </w:numPr>
        <w:spacing w:after="90"/>
      </w:pPr>
      <w:r>
        <w:rPr>
          <w:color w:val="1F2937"/>
          <w:sz w:val="21"/>
          <w:szCs w:val="21"/>
        </w:rPr>
        <w:t xml:space="preserve">Add X-Frame-Options: DENY or an equivalent frame-ancestors CSP directive to prevent clickjacking.</w:t>
      </w:r>
    </w:p>
    <w:p>
      <w:pPr>
        <w:spacing w:after="200"/>
      </w:pPr>
    </w:p>
    <w:p>
      <w:pPr>
        <w:pStyle w:val="Heading2"/>
        <w:spacing w:after="150" w:before="300"/>
      </w:pPr>
      <w:r>
        <w:rPr>
          <w:b/>
          <w:bCs/>
          <w:color w:val="2563EB"/>
          <w:sz w:val="26"/>
          <w:szCs w:val="26"/>
        </w:rPr>
        <w:t xml:space="preserve">5.3 SEO</w:t>
      </w:r>
    </w:p>
    <w:p>
      <w:pPr>
        <w:pStyle w:val="Heading3"/>
        <w:spacing w:after="100" w:before="220"/>
      </w:pPr>
      <w:r>
        <w:rPr>
          <w:b/>
          <w:bCs/>
          <w:color w:val="6B7280"/>
          <w:sz w:val="22"/>
          <w:szCs w:val="22"/>
        </w:rPr>
        <w:t xml:space="preserve">5.3.1 Structured Data Validity (Manual Check)</w:t>
      </w:r>
    </w:p>
    <w:p>
      <w:pPr>
        <w:spacing w:after="150" w:line="276"/>
      </w:pPr>
      <w:r>
        <w:rPr>
          <w:color w:val="1F2937"/>
          <w:sz w:val="21"/>
          <w:szCs w:val="21"/>
        </w:rPr>
        <w:t xml:space="preserve">SEO scores a perfect 100/100 on both Desktop and Mobile — no action required. One item, 'Structured data is valid,' is flagged as needing manual verification via Google's Rich Results Test or Schema Markup Validator, since Lighthouse cannot fully validate structured data automatically.</w:t>
      </w:r>
    </w:p>
    <w:p>
      <w:pPr>
        <w:pStyle w:val="ListParagraph"/>
        <w:numPr>
          <w:ilvl w:val="0"/>
          <w:numId w:val="2"/>
        </w:numPr>
        <w:spacing w:after="90"/>
      </w:pPr>
      <w:r>
        <w:rPr>
          <w:b/>
          <w:bCs/>
          <w:color w:val="1F2937"/>
          <w:sz w:val="21"/>
          <w:szCs w:val="21"/>
        </w:rPr>
        <w:t xml:space="preserve">Recommended action: </w:t>
      </w:r>
      <w:r>
        <w:rPr>
          <w:color w:val="1F2937"/>
          <w:sz w:val="21"/>
          <w:szCs w:val="21"/>
        </w:rPr>
        <w:t xml:space="preserve">Run the live site through Google's Rich Results Test to confirm any JSON-LD/schema.org markup (e.g. FinancialProduct, Organization) validates cleanly, since correct structured data can unlock rich snippets for a finance-comparison site.</w:t>
      </w:r>
    </w:p>
    <w:p>
      <w:pPr>
        <w:pStyle w:val="Heading2"/>
        <w:spacing w:after="150" w:before="300"/>
      </w:pPr>
      <w:r>
        <w:rPr>
          <w:b/>
          <w:bCs/>
          <w:color w:val="2563EB"/>
          <w:sz w:val="26"/>
          <w:szCs w:val="26"/>
        </w:rPr>
        <w:t xml:space="preserve">5.4 Accessibility Issues (Score: 85/100)</w:t>
      </w:r>
    </w:p>
    <w:p>
      <w:pPr>
        <w:pStyle w:val="Heading3"/>
        <w:spacing w:after="100" w:before="220"/>
      </w:pPr>
      <w:r>
        <w:rPr>
          <w:b/>
          <w:bCs/>
          <w:color w:val="D97706"/>
          <w:sz w:val="22"/>
          <w:szCs w:val="22"/>
        </w:rPr>
        <w:t xml:space="preserve">5.13 Buttons Without Accessible Names</w:t>
      </w:r>
    </w:p>
    <w:p>
      <w:pPr>
        <w:spacing w:after="120"/>
      </w:pPr>
      <w:r>
        <w:rPr>
          <w:b/>
          <w:bCs/>
          <w:color w:val="6B7280"/>
          <w:sz w:val="21"/>
          <w:szCs w:val="21"/>
        </w:rPr>
        <w:t xml:space="preserve">Severity: </w:t>
      </w:r>
      <w:r>
        <w:rPr>
          <w:b/>
          <w:bCs/>
          <w:color w:val="D97706"/>
          <w:sz w:val="21"/>
          <w:szCs w:val="21"/>
        </w:rPr>
        <w:t xml:space="preserve">High</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Multiple icon-only buttons have no accessible name: the feature-card 'mt-6' buttons in the main grid, the 'Lowest Interest' sort/filter combobox, and the previous/next carousel controls in the #banks section. Mobile additionally flags a hidden hamburger-style menu button (class 'lg:hidden button.p-2').</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Screen readers announce these controls simply as 'button,' giving no indication of their function, which breaks navigation for assistive-technology users.</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Excludes visually impaired users from comparing loans or navigating the site — a real accessibility and, in some jurisdictions, legal compliance risk (e.g. WCAG/ADA-style requirements) for a consumer financial platform.</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Add aria-label (e.g. aria-label="Sort by lowest interest rate", aria-label="Previous bank", aria-label="Next bank", aria-label="Open menu") to every icon-only button.</w:t>
      </w:r>
    </w:p>
    <w:p>
      <w:pPr>
        <w:pStyle w:val="ListParagraph"/>
        <w:numPr>
          <w:ilvl w:val="0"/>
          <w:numId w:val="2"/>
        </w:numPr>
        <w:spacing w:after="90"/>
      </w:pPr>
      <w:r>
        <w:rPr>
          <w:color w:val="1F2937"/>
          <w:sz w:val="21"/>
          <w:szCs w:val="21"/>
        </w:rPr>
        <w:t xml:space="preserve">For feature-card buttons, ensure the visible or visually-hidden text describes the action (e.g. "Compare now", "View details") rather than relying on icon-only content.</w:t>
      </w:r>
    </w:p>
    <w:p>
      <w:pPr>
        <w:spacing w:after="200"/>
      </w:pPr>
    </w:p>
    <w:p>
      <w:pPr>
        <w:pStyle w:val="Heading3"/>
        <w:spacing w:after="100" w:before="220"/>
      </w:pPr>
      <w:r>
        <w:rPr>
          <w:b/>
          <w:bCs/>
          <w:color w:val="D97706"/>
          <w:sz w:val="22"/>
          <w:szCs w:val="22"/>
        </w:rPr>
        <w:t xml:space="preserve">5.14 Links Without a Discernible Name</w:t>
      </w:r>
    </w:p>
    <w:p>
      <w:pPr>
        <w:spacing w:after="120"/>
      </w:pPr>
      <w:r>
        <w:rPr>
          <w:b/>
          <w:bCs/>
          <w:color w:val="6B7280"/>
          <w:sz w:val="21"/>
          <w:szCs w:val="21"/>
        </w:rPr>
        <w:t xml:space="preserve">Severity: </w:t>
      </w:r>
      <w:r>
        <w:rPr>
          <w:b/>
          <w:bCs/>
          <w:color w:val="D97706"/>
          <w:sz w:val="21"/>
          <w:szCs w:val="21"/>
        </w:rPr>
        <w:t xml:space="preserve">High</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social media icon links in the footer (Instagram, Facebook, LinkedIn, YouTube) contain only an icon with no text alternative, so screen readers cannot announce their destination or purpose.</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Assistive-technology users cannot distinguish between the four social links or know where each will navigate them.</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Reduces usability for a segment of users and is a common, easily-fixed WCAG 2.1 (Success Criterion 2.4.4/4.1.2) violation.</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Add aria-label attributes to each social link (e.g. aria-label="Follow HappiRate on Instagram", "...on Facebook", "...on LinkedIn", "...on YouTube").</w:t>
      </w:r>
    </w:p>
    <w:p>
      <w:pPr>
        <w:spacing w:after="200"/>
      </w:pPr>
    </w:p>
    <w:p>
      <w:pPr>
        <w:pStyle w:val="Heading3"/>
        <w:spacing w:after="100" w:before="220"/>
      </w:pPr>
      <w:r>
        <w:rPr>
          <w:b/>
          <w:bCs/>
          <w:color w:val="6B7280"/>
          <w:sz w:val="22"/>
          <w:szCs w:val="22"/>
        </w:rPr>
        <w:t xml:space="preserve">5.15 Redundant Image Alt Text</w:t>
      </w:r>
    </w:p>
    <w:p>
      <w:pPr>
        <w:spacing w:after="120"/>
      </w:pPr>
      <w:r>
        <w:rPr>
          <w:b/>
          <w:bCs/>
          <w:color w:val="6B7280"/>
          <w:sz w:val="21"/>
          <w:szCs w:val="21"/>
        </w:rPr>
        <w:t xml:space="preserve">Severity: </w:t>
      </w:r>
      <w:r>
        <w:rPr>
          <w:b/>
          <w:bCs/>
          <w:color w:val="6B7280"/>
          <w:sz w:val="21"/>
          <w:szCs w:val="21"/>
        </w:rPr>
        <w:t xml:space="preserve">Low</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header logo image has alt="Happirate", which duplicates the adjacent visible 'Happirate' text logo/wordmark, so screen readers announce the brand name twice in a row.</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Minor redundancy that adds friction for screen-reader users navigating the header.</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Cosmetic accessibility polish issue; low severity.</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Set alt="" (empty, decorative) on the logo icon if adjacent text already conveys the brand name, or consolidate to a single image with one meaningful alt attribute.</w:t>
      </w:r>
    </w:p>
    <w:p>
      <w:pPr>
        <w:spacing w:after="200"/>
      </w:pPr>
    </w:p>
    <w:p>
      <w:pPr>
        <w:pStyle w:val="Heading3"/>
        <w:spacing w:after="100" w:before="220"/>
      </w:pPr>
      <w:r>
        <w:rPr>
          <w:b/>
          <w:bCs/>
          <w:color w:val="2563EB"/>
          <w:sz w:val="22"/>
          <w:szCs w:val="22"/>
        </w:rPr>
        <w:t xml:space="preserve">5.16 Insufficient Color Contrast</w:t>
      </w:r>
    </w:p>
    <w:p>
      <w:pPr>
        <w:spacing w:after="120"/>
      </w:pPr>
      <w:r>
        <w:rPr>
          <w:b/>
          <w:bCs/>
          <w:color w:val="6B7280"/>
          <w:sz w:val="21"/>
          <w:szCs w:val="21"/>
        </w:rPr>
        <w:t xml:space="preserve">Severity: </w:t>
      </w:r>
      <w:r>
        <w:rPr>
          <w:b/>
          <w:bCs/>
          <w:color w:val="2563EB"/>
          <w:sz w:val="21"/>
          <w:szCs w:val="21"/>
        </w:rPr>
        <w:t xml:space="preserve">Medium</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footer copyright line ('© 2026 Finwest Corporate Services Pvt Ltd. All rights reserved.') and the tagline beneath it use text-slate-500 on a text-sm size against the dark bg-slate-900 footer background, producing a contrast ratio below WCAG AA's 4.5:1 minimum for normal text.</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Low-vision users and users in bright ambient light will struggle to read footer legal text.</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Footer legal/compliance text (company name, rights notice) being hard to read is a minor but real accessibility and, potentially, disclosure-compliance concern for a regulated financial services company.</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Lighten the footer text color (e.g. from slate-500 to slate-300 or slate-200) against the slate-900 background to meet at least a 4.5:1 contrast ratio, verified with a contrast checker.</w:t>
      </w:r>
    </w:p>
    <w:p>
      <w:pPr>
        <w:spacing w:after="200"/>
      </w:pPr>
    </w:p>
    <w:p>
      <w:pPr>
        <w:pStyle w:val="Heading3"/>
        <w:spacing w:after="100" w:before="220"/>
      </w:pPr>
      <w:r>
        <w:rPr>
          <w:b/>
          <w:bCs/>
          <w:color w:val="6B7280"/>
          <w:sz w:val="22"/>
          <w:szCs w:val="22"/>
        </w:rPr>
        <w:t xml:space="preserve">5.17 Headings Not in Sequential Order</w:t>
      </w:r>
    </w:p>
    <w:p>
      <w:pPr>
        <w:spacing w:after="120"/>
      </w:pPr>
      <w:r>
        <w:rPr>
          <w:b/>
          <w:bCs/>
          <w:color w:val="6B7280"/>
          <w:sz w:val="21"/>
          <w:szCs w:val="21"/>
        </w:rPr>
        <w:t xml:space="preserve">Severity: </w:t>
      </w:r>
      <w:r>
        <w:rPr>
          <w:b/>
          <w:bCs/>
          <w:color w:val="6B7280"/>
          <w:sz w:val="21"/>
          <w:szCs w:val="21"/>
        </w:rPr>
        <w:t xml:space="preserve">Low</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'Featured Banks' heading is marked up as an &lt;h3&gt; without a preceding &lt;h2&gt; in that section, skipping a heading level in the document outline.</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Breaks the logical heading hierarchy that screen-reader users rely on to navigate a page by section.</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Minor navigation friction for assistive-technology users; also a small, easy SEO-hygiene improvement since correct heading structure helps search engines parse page sections.</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Audit the full heading outline (h1 → h2 → h3) across the page and insert or renumber headings so no level is skipped, e.g. promote 'Featured Banks' to h2 or add the missing h2 parent above it.</w:t>
      </w:r>
    </w:p>
    <w:p>
      <w:pPr>
        <w:spacing w:after="200"/>
      </w:pPr>
    </w:p>
    <w:p>
      <w:pPr>
        <w:pStyle w:val="Heading2"/>
        <w:spacing w:after="150" w:before="300"/>
      </w:pPr>
      <w:r>
        <w:rPr>
          <w:b/>
          <w:bCs/>
          <w:color w:val="2563EB"/>
          <w:sz w:val="26"/>
          <w:szCs w:val="26"/>
        </w:rPr>
        <w:t xml:space="preserve">5.5 Agentic Browsing (Score: 1/3)</w:t>
      </w:r>
    </w:p>
    <w:p>
      <w:pPr>
        <w:spacing w:after="150" w:line="276"/>
      </w:pPr>
      <w:r>
        <w:rPr>
          <w:color w:val="1F2937"/>
          <w:sz w:val="21"/>
          <w:szCs w:val="21"/>
        </w:rPr>
        <w:t xml:space="preserve">This is a newer Lighthouse category that evaluates how well a page can be understood and navigated by AI browsing agents (e.g. autonomous shopping/comparison assistants) — increasingly relevant as agentic AI traffic grows. It is described by Google as still under development and subject to change.</w:t>
      </w:r>
    </w:p>
    <w:p>
      <w:pPr>
        <w:pStyle w:val="Heading3"/>
        <w:spacing w:after="100" w:before="220"/>
      </w:pPr>
      <w:r>
        <w:rPr>
          <w:b/>
          <w:bCs/>
          <w:color w:val="2563EB"/>
          <w:sz w:val="22"/>
          <w:szCs w:val="22"/>
        </w:rPr>
        <w:t xml:space="preserve">5.18 Accessibility Tree Is Not Well-Formed</w:t>
      </w:r>
    </w:p>
    <w:p>
      <w:pPr>
        <w:spacing w:after="120"/>
      </w:pPr>
      <w:r>
        <w:rPr>
          <w:b/>
          <w:bCs/>
          <w:color w:val="6B7280"/>
          <w:sz w:val="21"/>
          <w:szCs w:val="21"/>
        </w:rPr>
        <w:t xml:space="preserve">Severity: </w:t>
      </w:r>
      <w:r>
        <w:rPr>
          <w:b/>
          <w:bCs/>
          <w:color w:val="2563EB"/>
          <w:sz w:val="21"/>
          <w:szCs w:val="21"/>
        </w:rPr>
        <w:t xml:space="preserve">Medium</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same buttons and links flagged in Sections 5.4.1 and 5.4.2 (icon-only buttons and social links without discernible text) also fail this check, because AI agents rely on the same accessibility tree that screen readers use to understand what each control does.</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AI browsing agents cannot reliably identify or operate the affected buttons/links, which could exclude HappiRate from agent-driven loan-comparison workflows in the future.</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As agentic AI shopping assistants become a real traffic and conversion channel, an unclear accessibility tree could mean HappiRate is skipped in favor of competitors with cleaner markup.</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This is resolved by the same fix as Sections 5.4.1 and 5.4.2 — adding descriptive aria-label attributes to icon-only buttons and social links fixes both the human-accessibility score and the agentic-browsing score simultaneously.</w:t>
      </w:r>
    </w:p>
    <w:p>
      <w:pPr>
        <w:spacing w:after="200"/>
      </w:pPr>
    </w:p>
    <w:p>
      <w:pPr>
        <w:pStyle w:val="Heading3"/>
        <w:spacing w:after="100" w:before="220"/>
      </w:pPr>
      <w:r>
        <w:rPr>
          <w:b/>
          <w:bCs/>
          <w:color w:val="6B7280"/>
          <w:sz w:val="22"/>
          <w:szCs w:val="22"/>
        </w:rPr>
        <w:t xml:space="preserve">5.19 llms.txt Does Not Follow Recommendations</w:t>
      </w:r>
    </w:p>
    <w:p>
      <w:pPr>
        <w:spacing w:after="120"/>
      </w:pPr>
      <w:r>
        <w:rPr>
          <w:b/>
          <w:bCs/>
          <w:color w:val="6B7280"/>
          <w:sz w:val="21"/>
          <w:szCs w:val="21"/>
        </w:rPr>
        <w:t xml:space="preserve">Severity: </w:t>
      </w:r>
      <w:r>
        <w:rPr>
          <w:b/>
          <w:bCs/>
          <w:color w:val="6B7280"/>
          <w:sz w:val="21"/>
          <w:szCs w:val="21"/>
        </w:rPr>
        <w:t xml:space="preserve">Low</w:t>
      </w:r>
      <w:r>
        <w:t xml:space="preserve">     </w:t>
      </w:r>
      <w:r>
        <w:rPr>
          <w:b/>
          <w:bCs/>
          <w:color w:val="6B7280"/>
          <w:sz w:val="21"/>
          <w:szCs w:val="21"/>
        </w:rPr>
        <w:t xml:space="preserve">Occurs on: </w:t>
      </w:r>
      <w:r>
        <w:rPr>
          <w:color w:val="1F2937"/>
          <w:sz w:val="21"/>
          <w:szCs w:val="21"/>
        </w:rPr>
        <w:t xml:space="preserve">Desktop &amp; Mobile</w:t>
      </w:r>
      <w:r>
        <w:t xml:space="preserve"/>
      </w:r>
      <w:r>
        <w:t xml:space="preserve"/>
      </w:r>
      <w:r>
        <w:t xml:space="preserve"/>
      </w:r>
    </w:p>
    <w:p>
      <w:pPr>
        <w:pStyle w:val="ListParagraph"/>
        <w:numPr>
          <w:ilvl w:val="0"/>
          <w:numId w:val="2"/>
        </w:numPr>
        <w:spacing w:after="90"/>
      </w:pPr>
      <w:r>
        <w:rPr>
          <w:b/>
          <w:bCs/>
          <w:color w:val="1F2937"/>
          <w:sz w:val="21"/>
          <w:szCs w:val="21"/>
        </w:rPr>
        <w:t xml:space="preserve">Root cause: </w:t>
      </w:r>
      <w:r>
        <w:rPr>
          <w:color w:val="1F2937"/>
          <w:sz w:val="21"/>
          <w:szCs w:val="21"/>
        </w:rPr>
        <w:t xml:space="preserve">The site's llms.txt file exists but does not contain any links, and does not follow the emerging llms.txt convention of being a Markdown file with at least one H1 header describing the site for large-language-model crawlers.</w:t>
      </w:r>
    </w:p>
    <w:p>
      <w:pPr>
        <w:pStyle w:val="ListParagraph"/>
        <w:numPr>
          <w:ilvl w:val="0"/>
          <w:numId w:val="2"/>
        </w:numPr>
        <w:spacing w:after="90"/>
      </w:pPr>
      <w:r>
        <w:rPr>
          <w:b/>
          <w:bCs/>
          <w:color w:val="1F2937"/>
          <w:sz w:val="21"/>
          <w:szCs w:val="21"/>
        </w:rPr>
        <w:t xml:space="preserve">Technical impact: </w:t>
      </w:r>
      <w:r>
        <w:rPr>
          <w:color w:val="1F2937"/>
          <w:sz w:val="21"/>
          <w:szCs w:val="21"/>
        </w:rPr>
        <w:t xml:space="preserve">LLM-based crawlers and AI agents cannot use llms.txt to understand HappiRate's structure, key pages, or crawling/training preferences.</w:t>
      </w:r>
    </w:p>
    <w:p>
      <w:pPr>
        <w:pStyle w:val="ListParagraph"/>
        <w:numPr>
          <w:ilvl w:val="0"/>
          <w:numId w:val="2"/>
        </w:numPr>
        <w:spacing w:after="90"/>
      </w:pPr>
      <w:r>
        <w:rPr>
          <w:b/>
          <w:bCs/>
          <w:color w:val="1F2937"/>
          <w:sz w:val="21"/>
          <w:szCs w:val="21"/>
        </w:rPr>
        <w:t xml:space="preserve">Business impact: </w:t>
      </w:r>
      <w:r>
        <w:rPr>
          <w:color w:val="1F2937"/>
          <w:sz w:val="21"/>
          <w:szCs w:val="21"/>
        </w:rPr>
        <w:t xml:space="preserve">As AI assistants increasingly summarize or recommend financial products directly to users, a well-formed llms.txt is a low-cost way to influence how (and whether) HappiRate is represented in AI-generated answers.</w:t>
      </w:r>
    </w:p>
    <w:p>
      <w:pPr>
        <w:spacing w:after="60" w:before="60"/>
      </w:pPr>
      <w:r>
        <w:rPr>
          <w:b/>
          <w:bCs/>
          <w:color w:val="1F2937"/>
          <w:sz w:val="21"/>
          <w:szCs w:val="21"/>
        </w:rPr>
        <w:t xml:space="preserve">Recommended solution:</w:t>
      </w:r>
    </w:p>
    <w:p>
      <w:pPr>
        <w:pStyle w:val="ListParagraph"/>
        <w:numPr>
          <w:ilvl w:val="0"/>
          <w:numId w:val="2"/>
        </w:numPr>
        <w:spacing w:after="90"/>
      </w:pPr>
      <w:r>
        <w:rPr>
          <w:color w:val="1F2937"/>
          <w:sz w:val="21"/>
          <w:szCs w:val="21"/>
        </w:rPr>
        <w:t xml:space="preserve">Rewrite /llms.txt as a Markdown document starting with a single H1 (e.g. '# HappiRate'), a short description of the platform, and a linked list of key pages (loan comparison tool, blog, about, contact) so LLM crawlers can navigate the site's most important content.</w:t>
      </w:r>
    </w:p>
    <w:p>
      <w:pPr>
        <w:spacing w:after="200"/>
      </w:pPr>
    </w:p>
    <w:p>
      <w:r>
        <w:br w:type="page"/>
      </w:r>
    </w:p>
    <w:p>
      <w:pPr>
        <w:pStyle w:val="Heading1"/>
        <w:pBdr>
          <w:bottom w:val="single" w:color="2563EB" w:sz="8" w:space="4"/>
        </w:pBdr>
        <w:spacing w:after="200" w:before="400"/>
      </w:pPr>
      <w:r>
        <w:rPr>
          <w:b/>
          <w:bCs/>
          <w:color w:val="1F2937"/>
          <w:sz w:val="32"/>
          <w:szCs w:val="32"/>
        </w:rPr>
        <w:t xml:space="preserve">6. Next.js 15 Optimization Recommendations (Summary)</w:t>
      </w:r>
    </w:p>
    <w:p>
      <w:pPr>
        <w:spacing w:after="150" w:line="276"/>
      </w:pPr>
      <w:r>
        <w:rPr>
          <w:color w:val="1F2937"/>
          <w:sz w:val="21"/>
          <w:szCs w:val="21"/>
        </w:rPr>
        <w:t xml:space="preserve">HappiRate's frontend issues map cleanly onto a small set of built-in Next.js 15 capabilities. This section consolidates the framework-specific recommendations referenced throughout Section 5 into a single checklist.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tblGrid>
      <w:tr>
        <w:trPr>
          <w:tblHeader/>
        </w:trPr>
        <w:tc>
          <w:tcPr>
            <w:tcW w:type="dxa" w:w="2400"/>
            <w:shd w:fill="1F2937" w:color="auto" w:val="clear"/>
            <w:tcMar>
              <w:top w:type="dxa" w:w="100"/>
              <w:left w:type="dxa" w:w="120"/>
              <w:bottom w:type="dxa" w:w="100"/>
              <w:right w:type="dxa" w:w="120"/>
            </w:tcMar>
            <w:vAlign w:val="center"/>
          </w:tcPr>
          <w:p>
            <w:pPr>
              <w:jc w:val="center"/>
            </w:pPr>
            <w:r>
              <w:rPr>
                <w:b/>
                <w:bCs/>
                <w:color w:val="FFFFFF"/>
                <w:sz w:val="20"/>
                <w:szCs w:val="20"/>
              </w:rPr>
              <w:t xml:space="preserve">Issue</w:t>
            </w:r>
          </w:p>
        </w:tc>
        <w:tc>
          <w:tcPr>
            <w:tcW w:type="dxa" w:w="5200"/>
            <w:shd w:fill="1F2937" w:color="auto" w:val="clear"/>
            <w:tcMar>
              <w:top w:type="dxa" w:w="100"/>
              <w:left w:type="dxa" w:w="120"/>
              <w:bottom w:type="dxa" w:w="100"/>
              <w:right w:type="dxa" w:w="120"/>
            </w:tcMar>
            <w:vAlign w:val="center"/>
          </w:tcPr>
          <w:p>
            <w:pPr>
              <w:jc w:val="center"/>
            </w:pPr>
            <w:r>
              <w:rPr>
                <w:b/>
                <w:bCs/>
                <w:color w:val="FFFFFF"/>
                <w:sz w:val="20"/>
                <w:szCs w:val="20"/>
              </w:rPr>
              <w:t xml:space="preserve">Next.js 15 Fix</w:t>
            </w:r>
          </w:p>
        </w:tc>
      </w:tr>
      <w:tr>
        <w:tc>
          <w:tcPr>
            <w:tcW w:type="dxa" w:w="2400"/>
            <w:tcMar>
              <w:top w:type="dxa" w:w="100"/>
              <w:left w:type="dxa" w:w="120"/>
              <w:bottom w:type="dxa" w:w="100"/>
              <w:right w:type="dxa" w:w="120"/>
            </w:tcMar>
            <w:vAlign w:val="center"/>
          </w:tcPr>
          <w:p>
            <w:pPr>
              <w:jc w:val="left"/>
            </w:pPr>
            <w:r>
              <w:rPr>
                <w:b w:val="false"/>
                <w:bCs w:val="false"/>
                <w:color w:val="1F2937"/>
                <w:sz w:val="20"/>
                <w:szCs w:val="20"/>
              </w:rPr>
              <w:t xml:space="preserve">Oversized logo / LCP image</w:t>
            </w:r>
          </w:p>
        </w:tc>
        <w:tc>
          <w:tcPr>
            <w:tcW w:type="dxa" w:w="5200"/>
            <w:tcMar>
              <w:top w:type="dxa" w:w="100"/>
              <w:left w:type="dxa" w:w="120"/>
              <w:bottom w:type="dxa" w:w="100"/>
              <w:right w:type="dxa" w:w="120"/>
            </w:tcMar>
            <w:vAlign w:val="center"/>
          </w:tcPr>
          <w:p>
            <w:pPr>
              <w:jc w:val="left"/>
            </w:pPr>
            <w:r>
              <w:rPr>
                <w:b w:val="false"/>
                <w:bCs w:val="false"/>
                <w:color w:val="1F2937"/>
                <w:sz w:val="20"/>
                <w:szCs w:val="20"/>
              </w:rPr>
              <w:t xml:space="preserve">next/image with explicit width/height and priority={true}; automatic AVIF/WebP + responsive srcset.</w:t>
            </w:r>
          </w:p>
        </w:tc>
      </w:tr>
      <w:tr>
        <w:tc>
          <w:tcPr>
            <w:tcW w:type="dxa" w:w="2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Render-blocking third-party widgets (AOS, Swiper, Glightbox, Flowbite)</w:t>
            </w:r>
          </w:p>
        </w:tc>
        <w:tc>
          <w:tcPr>
            <w:tcW w:type="dxa" w:w="52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next/dynamic(() =&gt; import(...), { ssr: false }) to defer non-critical client components until needed.</w:t>
            </w:r>
          </w:p>
        </w:tc>
      </w:tr>
      <w:tr>
        <w:tc>
          <w:tcPr>
            <w:tcW w:type="dxa" w:w="2400"/>
            <w:tcMar>
              <w:top w:type="dxa" w:w="100"/>
              <w:left w:type="dxa" w:w="120"/>
              <w:bottom w:type="dxa" w:w="100"/>
              <w:right w:type="dxa" w:w="120"/>
            </w:tcMar>
            <w:vAlign w:val="center"/>
          </w:tcPr>
          <w:p>
            <w:pPr>
              <w:jc w:val="left"/>
            </w:pPr>
            <w:r>
              <w:rPr>
                <w:b w:val="false"/>
                <w:bCs w:val="false"/>
                <w:color w:val="1F2937"/>
                <w:sz w:val="20"/>
                <w:szCs w:val="20"/>
              </w:rPr>
              <w:t xml:space="preserve">Google Fonts render-blocking request</w:t>
            </w:r>
          </w:p>
        </w:tc>
        <w:tc>
          <w:tcPr>
            <w:tcW w:type="dxa" w:w="5200"/>
            <w:tcMar>
              <w:top w:type="dxa" w:w="100"/>
              <w:left w:type="dxa" w:w="120"/>
              <w:bottom w:type="dxa" w:w="100"/>
              <w:right w:type="dxa" w:w="120"/>
            </w:tcMar>
            <w:vAlign w:val="center"/>
          </w:tcPr>
          <w:p>
            <w:pPr>
              <w:jc w:val="left"/>
            </w:pPr>
            <w:r>
              <w:rPr>
                <w:b w:val="false"/>
                <w:bCs w:val="false"/>
                <w:color w:val="1F2937"/>
                <w:sz w:val="20"/>
                <w:szCs w:val="20"/>
              </w:rPr>
              <w:t xml:space="preserve">next/font/google — self-hosts and subsets fonts at build time, eliminating the external network request entirely.</w:t>
            </w:r>
          </w:p>
        </w:tc>
      </w:tr>
      <w:tr>
        <w:tc>
          <w:tcPr>
            <w:tcW w:type="dxa" w:w="2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Large unused-JavaScript bundle</w:t>
            </w:r>
          </w:p>
        </w:tc>
        <w:tc>
          <w:tcPr>
            <w:tcW w:type="dxa" w:w="52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App Router's automatic per-route code splitting, combined with @next/bundle-analyzer to find and remove dead code before/during migration.</w:t>
            </w:r>
          </w:p>
        </w:tc>
      </w:tr>
      <w:tr>
        <w:tc>
          <w:tcPr>
            <w:tcW w:type="dxa" w:w="2400"/>
            <w:tcMar>
              <w:top w:type="dxa" w:w="100"/>
              <w:left w:type="dxa" w:w="120"/>
              <w:bottom w:type="dxa" w:w="100"/>
              <w:right w:type="dxa" w:w="120"/>
            </w:tcMar>
            <w:vAlign w:val="center"/>
          </w:tcPr>
          <w:p>
            <w:pPr>
              <w:jc w:val="left"/>
            </w:pPr>
            <w:r>
              <w:rPr>
                <w:b w:val="false"/>
                <w:bCs w:val="false"/>
                <w:color w:val="1F2937"/>
                <w:sz w:val="20"/>
                <w:szCs w:val="20"/>
              </w:rPr>
              <w:t xml:space="preserve">Images missing width/height (CLS risk)</w:t>
            </w:r>
          </w:p>
        </w:tc>
        <w:tc>
          <w:tcPr>
            <w:tcW w:type="dxa" w:w="5200"/>
            <w:tcMar>
              <w:top w:type="dxa" w:w="100"/>
              <w:left w:type="dxa" w:w="120"/>
              <w:bottom w:type="dxa" w:w="100"/>
              <w:right w:type="dxa" w:w="120"/>
            </w:tcMar>
            <w:vAlign w:val="center"/>
          </w:tcPr>
          <w:p>
            <w:pPr>
              <w:jc w:val="left"/>
            </w:pPr>
            <w:r>
              <w:rPr>
                <w:b w:val="false"/>
                <w:bCs w:val="false"/>
                <w:color w:val="1F2937"/>
                <w:sz w:val="20"/>
                <w:szCs w:val="20"/>
              </w:rPr>
              <w:t xml:space="preserve">next/image enforces width/height (or fill + sized parent) at compile time, preventing this class of bug from recurring.</w:t>
            </w:r>
          </w:p>
        </w:tc>
      </w:tr>
      <w:tr>
        <w:tc>
          <w:tcPr>
            <w:tcW w:type="dxa" w:w="24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Firebase Auth loaded on every page</w:t>
            </w:r>
          </w:p>
        </w:tc>
        <w:tc>
          <w:tcPr>
            <w:tcW w:type="dxa" w:w="52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Dynamically import the Firebase Auth SDK/iframe only inside the login/account route or on-demand via a client component.</w:t>
            </w:r>
          </w:p>
        </w:tc>
      </w:tr>
      <w:tr>
        <w:tc>
          <w:tcPr>
            <w:tcW w:type="dxa" w:w="2400"/>
            <w:tcMar>
              <w:top w:type="dxa" w:w="100"/>
              <w:left w:type="dxa" w:w="120"/>
              <w:bottom w:type="dxa" w:w="100"/>
              <w:right w:type="dxa" w:w="120"/>
            </w:tcMar>
            <w:vAlign w:val="center"/>
          </w:tcPr>
          <w:p>
            <w:pPr>
              <w:jc w:val="left"/>
            </w:pPr>
            <w:r>
              <w:rPr>
                <w:b w:val="false"/>
                <w:bCs w:val="false"/>
                <w:color w:val="1F2937"/>
                <w:sz w:val="20"/>
                <w:szCs w:val="20"/>
              </w:rPr>
              <w:t xml:space="preserve">Missing source maps</w:t>
            </w:r>
          </w:p>
        </w:tc>
        <w:tc>
          <w:tcPr>
            <w:tcW w:type="dxa" w:w="5200"/>
            <w:tcMar>
              <w:top w:type="dxa" w:w="100"/>
              <w:left w:type="dxa" w:w="120"/>
              <w:bottom w:type="dxa" w:w="100"/>
              <w:right w:type="dxa" w:w="120"/>
            </w:tcMar>
            <w:vAlign w:val="center"/>
          </w:tcPr>
          <w:p>
            <w:pPr>
              <w:jc w:val="left"/>
            </w:pPr>
            <w:r>
              <w:rPr>
                <w:b w:val="false"/>
                <w:bCs w:val="false"/>
                <w:color w:val="1F2937"/>
                <w:sz w:val="20"/>
                <w:szCs w:val="20"/>
              </w:rPr>
              <w:t xml:space="preserve">Set productionBrowserSourceMaps: true in next.config.js (scope to internal error tracking if hiding source publicly is a concern).</w:t>
            </w:r>
          </w:p>
        </w:tc>
      </w:tr>
    </w:tbl>
    <w:p>
      <w:r>
        <w:br w:type="page"/>
      </w:r>
    </w:p>
    <w:p>
      <w:pPr>
        <w:pStyle w:val="Heading1"/>
        <w:pBdr>
          <w:bottom w:val="single" w:color="2563EB" w:sz="8" w:space="4"/>
        </w:pBdr>
        <w:spacing w:after="200" w:before="400"/>
      </w:pPr>
      <w:r>
        <w:rPr>
          <w:b/>
          <w:bCs/>
          <w:color w:val="1F2937"/>
          <w:sz w:val="32"/>
          <w:szCs w:val="32"/>
        </w:rPr>
        <w:t xml:space="preserve">7. Priority Matrix</w:t>
      </w:r>
    </w:p>
    <w:p>
      <w:pPr>
        <w:spacing w:after="150" w:line="276"/>
      </w:pPr>
      <w:r>
        <w:rPr>
          <w:color w:val="1F2937"/>
          <w:sz w:val="21"/>
          <w:szCs w:val="21"/>
        </w:rPr>
        <w:t xml:space="preserve">Issues are grouped by severity to guide sprint planning. Critical items should be addressed immediately; High items within the current sprint; Medium within the current quarter; Low as ongoing hygiene.</w:t>
      </w:r>
    </w:p>
    <w:p>
      <w:pPr>
        <w:pStyle w:val="Heading3"/>
        <w:spacing w:after="100" w:before="220"/>
      </w:pPr>
      <w:r>
        <w:rPr>
          <w:b/>
          <w:bCs/>
          <w:color w:val="DC2626"/>
          <w:sz w:val="22"/>
          <w:szCs w:val="22"/>
        </w:rPr>
        <w:t xml:space="preserve">Critical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900"/>
      </w:tblGrid>
      <w:tr>
        <w:trPr>
          <w:tblHeader/>
        </w:trPr>
        <w:tc>
          <w:tcPr>
            <w:tcW w:type="dxa" w:w="4600"/>
            <w:shd w:fill="1F2937" w:color="auto" w:val="clear"/>
            <w:tcMar>
              <w:top w:type="dxa" w:w="100"/>
              <w:left w:type="dxa" w:w="120"/>
              <w:bottom w:type="dxa" w:w="100"/>
              <w:right w:type="dxa" w:w="120"/>
            </w:tcMar>
            <w:vAlign w:val="center"/>
          </w:tcPr>
          <w:p>
            <w:pPr>
              <w:jc w:val="center"/>
            </w:pPr>
            <w:r>
              <w:rPr>
                <w:b/>
                <w:bCs/>
                <w:color w:val="FFFFFF"/>
                <w:sz w:val="20"/>
                <w:szCs w:val="20"/>
              </w:rPr>
              <w:t xml:space="preserve">Issue</w:t>
            </w:r>
          </w:p>
        </w:tc>
        <w:tc>
          <w:tcPr>
            <w:tcW w:type="dxa" w:w="1500"/>
            <w:shd w:fill="1F2937" w:color="auto" w:val="clear"/>
            <w:tcMar>
              <w:top w:type="dxa" w:w="100"/>
              <w:left w:type="dxa" w:w="120"/>
              <w:bottom w:type="dxa" w:w="100"/>
              <w:right w:type="dxa" w:w="120"/>
            </w:tcMar>
            <w:vAlign w:val="center"/>
          </w:tcPr>
          <w:p>
            <w:pPr>
              <w:jc w:val="center"/>
            </w:pPr>
            <w:r>
              <w:rPr>
                <w:b/>
                <w:bCs/>
                <w:color w:val="FFFFFF"/>
                <w:sz w:val="20"/>
                <w:szCs w:val="20"/>
              </w:rPr>
              <w:t xml:space="preserve">Effort</w:t>
            </w:r>
          </w:p>
        </w:tc>
        <w:tc>
          <w:tcPr>
            <w:tcW w:type="dxa" w:w="1900"/>
            <w:shd w:fill="1F2937" w:color="auto" w:val="clear"/>
            <w:tcMar>
              <w:top w:type="dxa" w:w="100"/>
              <w:left w:type="dxa" w:w="120"/>
              <w:bottom w:type="dxa" w:w="100"/>
              <w:right w:type="dxa" w:w="120"/>
            </w:tcMar>
            <w:vAlign w:val="center"/>
          </w:tcPr>
          <w:p>
            <w:pPr>
              <w:jc w:val="center"/>
            </w:pPr>
            <w:r>
              <w:rPr>
                <w:b/>
                <w:bCs/>
                <w:color w:val="FFFFFF"/>
                <w:sz w:val="20"/>
                <w:szCs w:val="20"/>
              </w:rPr>
              <w:t xml:space="preserve">Impact</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Fix first-party JS files returning HTML (console SyntaxErrors) — likely breaking contact form validation, carousels, animations</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Low–Med</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Very High</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Compress/resize/convert the 3.1 MB logo image and fix LCP discoverability (fetchpriority, no client-side injection)</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Very High</w:t>
            </w:r>
          </w:p>
        </w:tc>
      </w:tr>
    </w:tbl>
    <w:p>
      <w:pPr>
        <w:spacing w:after="150"/>
      </w:pPr>
    </w:p>
    <w:p>
      <w:pPr>
        <w:pStyle w:val="Heading3"/>
        <w:spacing w:after="100" w:before="220"/>
      </w:pPr>
      <w:r>
        <w:rPr>
          <w:b/>
          <w:bCs/>
          <w:color w:val="D97706"/>
          <w:sz w:val="22"/>
          <w:szCs w:val="22"/>
        </w:rPr>
        <w:t xml:space="preserve">High</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900"/>
      </w:tblGrid>
      <w:tr>
        <w:trPr>
          <w:tblHeader/>
        </w:trPr>
        <w:tc>
          <w:tcPr>
            <w:tcW w:type="dxa" w:w="4600"/>
            <w:shd w:fill="1F2937" w:color="auto" w:val="clear"/>
            <w:tcMar>
              <w:top w:type="dxa" w:w="100"/>
              <w:left w:type="dxa" w:w="120"/>
              <w:bottom w:type="dxa" w:w="100"/>
              <w:right w:type="dxa" w:w="120"/>
            </w:tcMar>
            <w:vAlign w:val="center"/>
          </w:tcPr>
          <w:p>
            <w:pPr>
              <w:jc w:val="center"/>
            </w:pPr>
            <w:r>
              <w:rPr>
                <w:b/>
                <w:bCs/>
                <w:color w:val="FFFFFF"/>
                <w:sz w:val="20"/>
                <w:szCs w:val="20"/>
              </w:rPr>
              <w:t xml:space="preserve">Issue</w:t>
            </w:r>
          </w:p>
        </w:tc>
        <w:tc>
          <w:tcPr>
            <w:tcW w:type="dxa" w:w="1500"/>
            <w:shd w:fill="1F2937" w:color="auto" w:val="clear"/>
            <w:tcMar>
              <w:top w:type="dxa" w:w="100"/>
              <w:left w:type="dxa" w:w="120"/>
              <w:bottom w:type="dxa" w:w="100"/>
              <w:right w:type="dxa" w:w="120"/>
            </w:tcMar>
            <w:vAlign w:val="center"/>
          </w:tcPr>
          <w:p>
            <w:pPr>
              <w:jc w:val="center"/>
            </w:pPr>
            <w:r>
              <w:rPr>
                <w:b/>
                <w:bCs/>
                <w:color w:val="FFFFFF"/>
                <w:sz w:val="20"/>
                <w:szCs w:val="20"/>
              </w:rPr>
              <w:t xml:space="preserve">Effort</w:t>
            </w:r>
          </w:p>
        </w:tc>
        <w:tc>
          <w:tcPr>
            <w:tcW w:type="dxa" w:w="1900"/>
            <w:shd w:fill="1F2937" w:color="auto" w:val="clear"/>
            <w:tcMar>
              <w:top w:type="dxa" w:w="100"/>
              <w:left w:type="dxa" w:w="120"/>
              <w:bottom w:type="dxa" w:w="100"/>
              <w:right w:type="dxa" w:w="120"/>
            </w:tcMar>
            <w:vAlign w:val="center"/>
          </w:tcPr>
          <w:p>
            <w:pPr>
              <w:jc w:val="center"/>
            </w:pPr>
            <w:r>
              <w:rPr>
                <w:b/>
                <w:bCs/>
                <w:color w:val="FFFFFF"/>
                <w:sz w:val="20"/>
                <w:szCs w:val="20"/>
              </w:rPr>
              <w:t xml:space="preserve">Impact</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Defer/async-load render-blocking CSS &amp; JS (AOS, Glightbox, Swiper, PureCounter, form validator)</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Medium</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High</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Reduce unused JavaScript in main bundle via code-splitting</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Medium</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High</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Add accessible names to icon-only buttons (sort combobox, carousel controls, mobile menu)</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High</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Add accessible names to footer social links</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High</w:t>
            </w:r>
          </w:p>
        </w:tc>
      </w:tr>
    </w:tbl>
    <w:p>
      <w:pPr>
        <w:spacing w:after="150"/>
      </w:pPr>
    </w:p>
    <w:p>
      <w:pPr>
        <w:pStyle w:val="Heading3"/>
        <w:spacing w:after="100" w:before="220"/>
      </w:pPr>
      <w:r>
        <w:rPr>
          <w:b/>
          <w:bCs/>
          <w:color w:val="2563EB"/>
          <w:sz w:val="22"/>
          <w:szCs w:val="22"/>
        </w:rPr>
        <w:t xml:space="preserve">Medium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900"/>
      </w:tblGrid>
      <w:tr>
        <w:trPr>
          <w:tblHeader/>
        </w:trPr>
        <w:tc>
          <w:tcPr>
            <w:tcW w:type="dxa" w:w="4600"/>
            <w:shd w:fill="1F2937" w:color="auto" w:val="clear"/>
            <w:tcMar>
              <w:top w:type="dxa" w:w="100"/>
              <w:left w:type="dxa" w:w="120"/>
              <w:bottom w:type="dxa" w:w="100"/>
              <w:right w:type="dxa" w:w="120"/>
            </w:tcMar>
            <w:vAlign w:val="center"/>
          </w:tcPr>
          <w:p>
            <w:pPr>
              <w:jc w:val="center"/>
            </w:pPr>
            <w:r>
              <w:rPr>
                <w:b/>
                <w:bCs/>
                <w:color w:val="FFFFFF"/>
                <w:sz w:val="20"/>
                <w:szCs w:val="20"/>
              </w:rPr>
              <w:t xml:space="preserve">Issue</w:t>
            </w:r>
          </w:p>
        </w:tc>
        <w:tc>
          <w:tcPr>
            <w:tcW w:type="dxa" w:w="1500"/>
            <w:shd w:fill="1F2937" w:color="auto" w:val="clear"/>
            <w:tcMar>
              <w:top w:type="dxa" w:w="100"/>
              <w:left w:type="dxa" w:w="120"/>
              <w:bottom w:type="dxa" w:w="100"/>
              <w:right w:type="dxa" w:w="120"/>
            </w:tcMar>
            <w:vAlign w:val="center"/>
          </w:tcPr>
          <w:p>
            <w:pPr>
              <w:jc w:val="center"/>
            </w:pPr>
            <w:r>
              <w:rPr>
                <w:b/>
                <w:bCs/>
                <w:color w:val="FFFFFF"/>
                <w:sz w:val="20"/>
                <w:szCs w:val="20"/>
              </w:rPr>
              <w:t xml:space="preserve">Effort</w:t>
            </w:r>
          </w:p>
        </w:tc>
        <w:tc>
          <w:tcPr>
            <w:tcW w:type="dxa" w:w="1900"/>
            <w:shd w:fill="1F2937" w:color="auto" w:val="clear"/>
            <w:tcMar>
              <w:top w:type="dxa" w:w="100"/>
              <w:left w:type="dxa" w:w="120"/>
              <w:bottom w:type="dxa" w:w="100"/>
              <w:right w:type="dxa" w:w="120"/>
            </w:tcMar>
            <w:vAlign w:val="center"/>
          </w:tcPr>
          <w:p>
            <w:pPr>
              <w:jc w:val="center"/>
            </w:pPr>
            <w:r>
              <w:rPr>
                <w:b/>
                <w:bCs/>
                <w:color w:val="FFFFFF"/>
                <w:sz w:val="20"/>
                <w:szCs w:val="20"/>
              </w:rPr>
              <w:t xml:space="preserve">Impact</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Verify/implement CSP, HSTS, COOP, X-Frame-Options headers</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Medium</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Medium</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Fix forced reflow in index-CwQ2MOAq.js (batch DOM reads/writes)</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Medium</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Medium</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Flatten network dependency chain / defer Firebase Auth init</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Medium</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Medium</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Add explicit width/height to all images (text logo)</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Medium</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Fix footer text color contrast</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Medium</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Correct heading hierarchy ('Featured Banks')</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Medium</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Rewrite llms.txt per convention (Markdown, H1, linked key pages)</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Medium</w:t>
            </w:r>
          </w:p>
        </w:tc>
      </w:tr>
    </w:tbl>
    <w:p>
      <w:pPr>
        <w:spacing w:after="150"/>
      </w:pPr>
    </w:p>
    <w:p>
      <w:pPr>
        <w:pStyle w:val="Heading3"/>
        <w:spacing w:after="100" w:before="220"/>
      </w:pPr>
      <w:r>
        <w:rPr>
          <w:b/>
          <w:bCs/>
          <w:color w:val="6B7280"/>
          <w:sz w:val="22"/>
          <w:szCs w:val="22"/>
        </w:rPr>
        <w:t xml:space="preserve">Low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900"/>
      </w:tblGrid>
      <w:tr>
        <w:trPr>
          <w:tblHeader/>
        </w:trPr>
        <w:tc>
          <w:tcPr>
            <w:tcW w:type="dxa" w:w="4600"/>
            <w:shd w:fill="1F2937" w:color="auto" w:val="clear"/>
            <w:tcMar>
              <w:top w:type="dxa" w:w="100"/>
              <w:left w:type="dxa" w:w="120"/>
              <w:bottom w:type="dxa" w:w="100"/>
              <w:right w:type="dxa" w:w="120"/>
            </w:tcMar>
            <w:vAlign w:val="center"/>
          </w:tcPr>
          <w:p>
            <w:pPr>
              <w:jc w:val="center"/>
            </w:pPr>
            <w:r>
              <w:rPr>
                <w:b/>
                <w:bCs/>
                <w:color w:val="FFFFFF"/>
                <w:sz w:val="20"/>
                <w:szCs w:val="20"/>
              </w:rPr>
              <w:t xml:space="preserve">Issue</w:t>
            </w:r>
          </w:p>
        </w:tc>
        <w:tc>
          <w:tcPr>
            <w:tcW w:type="dxa" w:w="1500"/>
            <w:shd w:fill="1F2937" w:color="auto" w:val="clear"/>
            <w:tcMar>
              <w:top w:type="dxa" w:w="100"/>
              <w:left w:type="dxa" w:w="120"/>
              <w:bottom w:type="dxa" w:w="100"/>
              <w:right w:type="dxa" w:w="120"/>
            </w:tcMar>
            <w:vAlign w:val="center"/>
          </w:tcPr>
          <w:p>
            <w:pPr>
              <w:jc w:val="center"/>
            </w:pPr>
            <w:r>
              <w:rPr>
                <w:b/>
                <w:bCs/>
                <w:color w:val="FFFFFF"/>
                <w:sz w:val="20"/>
                <w:szCs w:val="20"/>
              </w:rPr>
              <w:t xml:space="preserve">Effort</w:t>
            </w:r>
          </w:p>
        </w:tc>
        <w:tc>
          <w:tcPr>
            <w:tcW w:type="dxa" w:w="1900"/>
            <w:shd w:fill="1F2937" w:color="auto" w:val="clear"/>
            <w:tcMar>
              <w:top w:type="dxa" w:w="100"/>
              <w:left w:type="dxa" w:w="120"/>
              <w:bottom w:type="dxa" w:w="100"/>
              <w:right w:type="dxa" w:w="120"/>
            </w:tcMar>
            <w:vAlign w:val="center"/>
          </w:tcPr>
          <w:p>
            <w:pPr>
              <w:jc w:val="center"/>
            </w:pPr>
            <w:r>
              <w:rPr>
                <w:b/>
                <w:bCs/>
                <w:color w:val="FFFFFF"/>
                <w:sz w:val="20"/>
                <w:szCs w:val="20"/>
              </w:rPr>
              <w:t xml:space="preserve">Impact</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Correct/adjust preconnect hints (remove unused, add missing 4)</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Low</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Reserve layout space for nav bar &amp; loan-amount figure (CLS hygiene)</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Increase Firebase Auth iframe cache lifetime / defer its load</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Low</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Remove redundant alt text on logo icon</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r>
      <w:tr>
        <w:tc>
          <w:tcPr>
            <w:tcW w:type="dxa" w:w="4600"/>
            <w:tcMar>
              <w:top w:type="dxa" w:w="100"/>
              <w:left w:type="dxa" w:w="120"/>
              <w:bottom w:type="dxa" w:w="100"/>
              <w:right w:type="dxa" w:w="120"/>
            </w:tcMar>
            <w:vAlign w:val="center"/>
          </w:tcPr>
          <w:p>
            <w:pPr>
              <w:jc w:val="left"/>
            </w:pPr>
            <w:r>
              <w:rPr>
                <w:b w:val="false"/>
                <w:bCs w:val="false"/>
                <w:color w:val="1F2937"/>
                <w:sz w:val="20"/>
                <w:szCs w:val="20"/>
              </w:rPr>
              <w:t xml:space="preserve">Enable production source maps for first-party JS</w:t>
            </w:r>
          </w:p>
        </w:tc>
        <w:tc>
          <w:tcPr>
            <w:tcW w:type="dxa" w:w="1500"/>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tcMar>
              <w:top w:type="dxa" w:w="100"/>
              <w:left w:type="dxa" w:w="120"/>
              <w:bottom w:type="dxa" w:w="100"/>
              <w:right w:type="dxa" w:w="120"/>
            </w:tcMar>
            <w:vAlign w:val="center"/>
          </w:tcPr>
          <w:p>
            <w:pPr>
              <w:jc w:val="left"/>
            </w:pPr>
            <w:r>
              <w:rPr>
                <w:b w:val="false"/>
                <w:bCs w:val="false"/>
                <w:color w:val="1F2937"/>
                <w:sz w:val="20"/>
                <w:szCs w:val="20"/>
              </w:rPr>
              <w:t xml:space="preserve">Low</w:t>
            </w:r>
          </w:p>
        </w:tc>
      </w:tr>
      <w:tr>
        <w:tc>
          <w:tcPr>
            <w:tcW w:type="dxa" w:w="4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Validate structured data via Google Rich Results Test</w:t>
            </w:r>
          </w:p>
        </w:tc>
        <w:tc>
          <w:tcPr>
            <w:tcW w:type="dxa" w:w="15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c>
          <w:tcPr>
            <w:tcW w:type="dxa" w:w="19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Low</w:t>
            </w:r>
          </w:p>
        </w:tc>
      </w:tr>
    </w:tbl>
    <w:p>
      <w:r>
        <w:br w:type="page"/>
      </w:r>
    </w:p>
    <w:p>
      <w:pPr>
        <w:pStyle w:val="Heading1"/>
        <w:pBdr>
          <w:bottom w:val="single" w:color="2563EB" w:sz="8" w:space="4"/>
        </w:pBdr>
        <w:spacing w:after="200" w:before="400"/>
      </w:pPr>
      <w:r>
        <w:rPr>
          <w:b/>
          <w:bCs/>
          <w:color w:val="1F2937"/>
          <w:sz w:val="32"/>
          <w:szCs w:val="32"/>
        </w:rPr>
        <w:t xml:space="preserve">8. Expected Improvements After Implementation</w:t>
      </w:r>
    </w:p>
    <w:p>
      <w:pPr>
        <w:spacing w:after="150" w:line="276"/>
      </w:pPr>
      <w:r>
        <w:rPr>
          <w:color w:val="1F2937"/>
          <w:sz w:val="21"/>
          <w:szCs w:val="21"/>
        </w:rPr>
        <w:t xml:space="preserve">Estimated outcomes assume the Critical and High priority items are implemented; figures are directional, based on Lighthouse's own "Est. savings" figures reported in Sections 3–5, not a guarantee.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tblGrid>
      <w:tr>
        <w:trPr>
          <w:tblHeader/>
        </w:trPr>
        <w:tc>
          <w:tcPr>
            <w:tcW w:type="dxa" w:w="2600"/>
            <w:shd w:fill="1F2937" w:color="auto" w:val="clear"/>
            <w:tcMar>
              <w:top w:type="dxa" w:w="100"/>
              <w:left w:type="dxa" w:w="120"/>
              <w:bottom w:type="dxa" w:w="100"/>
              <w:right w:type="dxa" w:w="120"/>
            </w:tcMar>
            <w:vAlign w:val="center"/>
          </w:tcPr>
          <w:p>
            <w:pPr>
              <w:jc w:val="center"/>
            </w:pPr>
            <w:r>
              <w:rPr>
                <w:b/>
                <w:bCs/>
                <w:color w:val="FFFFFF"/>
                <w:sz w:val="20"/>
                <w:szCs w:val="20"/>
              </w:rPr>
              <w:t xml:space="preserve">Metric</w:t>
            </w:r>
          </w:p>
        </w:tc>
        <w:tc>
          <w:tcPr>
            <w:tcW w:type="dxa" w:w="2000"/>
            <w:shd w:fill="1F2937" w:color="auto" w:val="clear"/>
            <w:tcMar>
              <w:top w:type="dxa" w:w="100"/>
              <w:left w:type="dxa" w:w="120"/>
              <w:bottom w:type="dxa" w:w="100"/>
              <w:right w:type="dxa" w:w="120"/>
            </w:tcMar>
            <w:vAlign w:val="center"/>
          </w:tcPr>
          <w:p>
            <w:pPr>
              <w:jc w:val="center"/>
            </w:pPr>
            <w:r>
              <w:rPr>
                <w:b/>
                <w:bCs/>
                <w:color w:val="FFFFFF"/>
                <w:sz w:val="20"/>
                <w:szCs w:val="20"/>
              </w:rPr>
              <w:t xml:space="preserve">Current (Mobile)</w:t>
            </w:r>
          </w:p>
        </w:tc>
        <w:tc>
          <w:tcPr>
            <w:tcW w:type="dxa" w:w="2000"/>
            <w:shd w:fill="1F2937" w:color="auto" w:val="clear"/>
            <w:tcMar>
              <w:top w:type="dxa" w:w="100"/>
              <w:left w:type="dxa" w:w="120"/>
              <w:bottom w:type="dxa" w:w="100"/>
              <w:right w:type="dxa" w:w="120"/>
            </w:tcMar>
            <w:vAlign w:val="center"/>
          </w:tcPr>
          <w:p>
            <w:pPr>
              <w:jc w:val="center"/>
            </w:pPr>
            <w:r>
              <w:rPr>
                <w:b/>
                <w:bCs/>
                <w:color w:val="FFFFFF"/>
                <w:sz w:val="20"/>
                <w:szCs w:val="20"/>
              </w:rPr>
              <w:t xml:space="preserve">Current (Desktop)</w:t>
            </w:r>
          </w:p>
        </w:tc>
        <w:tc>
          <w:tcPr>
            <w:tcW w:type="dxa" w:w="2000"/>
            <w:shd w:fill="1F2937" w:color="auto" w:val="clear"/>
            <w:tcMar>
              <w:top w:type="dxa" w:w="100"/>
              <w:left w:type="dxa" w:w="120"/>
              <w:bottom w:type="dxa" w:w="100"/>
              <w:right w:type="dxa" w:w="120"/>
            </w:tcMar>
            <w:vAlign w:val="center"/>
          </w:tcPr>
          <w:p>
            <w:pPr>
              <w:jc w:val="center"/>
            </w:pPr>
            <w:r>
              <w:rPr>
                <w:b/>
                <w:bCs/>
                <w:color w:val="FFFFFF"/>
                <w:sz w:val="20"/>
                <w:szCs w:val="20"/>
              </w:rPr>
              <w:t xml:space="preserve">Projected After Fixes</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Performance score</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57</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76</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90+ (both platforms)</w:t>
            </w:r>
          </w:p>
        </w:tc>
      </w:tr>
      <w:tr>
        <w:tc>
          <w:tcPr>
            <w:tcW w:type="dxa" w:w="2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LCP</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24.5 s</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3.7 s</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&lt; 2.5 s</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FCP</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8.5 s</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1.1 s</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&lt; 1.8 s</w:t>
            </w:r>
          </w:p>
        </w:tc>
      </w:tr>
      <w:tr>
        <w:tc>
          <w:tcPr>
            <w:tcW w:type="dxa" w:w="2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Total page weight</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4,248 KiB</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4,111 KiB</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~700–900 KiB</w:t>
            </w:r>
          </w:p>
        </w:tc>
      </w:tr>
      <w:tr>
        <w:tc>
          <w:tcPr>
            <w:tcW w:type="dxa" w:w="2600"/>
            <w:tcMar>
              <w:top w:type="dxa" w:w="100"/>
              <w:left w:type="dxa" w:w="120"/>
              <w:bottom w:type="dxa" w:w="100"/>
              <w:right w:type="dxa" w:w="120"/>
            </w:tcMar>
            <w:vAlign w:val="center"/>
          </w:tcPr>
          <w:p>
            <w:pPr>
              <w:jc w:val="left"/>
            </w:pPr>
            <w:r>
              <w:rPr>
                <w:b w:val="false"/>
                <w:bCs w:val="false"/>
                <w:color w:val="1F2937"/>
                <w:sz w:val="20"/>
                <w:szCs w:val="20"/>
              </w:rPr>
              <w:t xml:space="preserve">Accessibility score</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85</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85</w:t>
            </w:r>
          </w:p>
        </w:tc>
        <w:tc>
          <w:tcPr>
            <w:tcW w:type="dxa" w:w="2000"/>
            <w:tcMar>
              <w:top w:type="dxa" w:w="100"/>
              <w:left w:type="dxa" w:w="120"/>
              <w:bottom w:type="dxa" w:w="100"/>
              <w:right w:type="dxa" w:w="120"/>
            </w:tcMar>
            <w:vAlign w:val="center"/>
          </w:tcPr>
          <w:p>
            <w:pPr>
              <w:jc w:val="center"/>
            </w:pPr>
            <w:r>
              <w:rPr>
                <w:b w:val="false"/>
                <w:bCs w:val="false"/>
                <w:color w:val="1F2937"/>
                <w:sz w:val="20"/>
                <w:szCs w:val="20"/>
              </w:rPr>
              <w:t xml:space="preserve">95+</w:t>
            </w:r>
          </w:p>
        </w:tc>
      </w:tr>
      <w:tr>
        <w:tc>
          <w:tcPr>
            <w:tcW w:type="dxa" w:w="2600"/>
            <w:shd w:fill="F3F4F6" w:color="auto" w:val="clear"/>
            <w:tcMar>
              <w:top w:type="dxa" w:w="100"/>
              <w:left w:type="dxa" w:w="120"/>
              <w:bottom w:type="dxa" w:w="100"/>
              <w:right w:type="dxa" w:w="120"/>
            </w:tcMar>
            <w:vAlign w:val="center"/>
          </w:tcPr>
          <w:p>
            <w:pPr>
              <w:jc w:val="left"/>
            </w:pPr>
            <w:r>
              <w:rPr>
                <w:b w:val="false"/>
                <w:bCs w:val="false"/>
                <w:color w:val="1F2937"/>
                <w:sz w:val="20"/>
                <w:szCs w:val="20"/>
              </w:rPr>
              <w:t xml:space="preserve">Agentic Browsing</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1/3</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1/3</w:t>
            </w:r>
          </w:p>
        </w:tc>
        <w:tc>
          <w:tcPr>
            <w:tcW w:type="dxa" w:w="2000"/>
            <w:shd w:fill="F3F4F6" w:color="auto" w:val="clear"/>
            <w:tcMar>
              <w:top w:type="dxa" w:w="100"/>
              <w:left w:type="dxa" w:w="120"/>
              <w:bottom w:type="dxa" w:w="100"/>
              <w:right w:type="dxa" w:w="120"/>
            </w:tcMar>
            <w:vAlign w:val="center"/>
          </w:tcPr>
          <w:p>
            <w:pPr>
              <w:jc w:val="center"/>
            </w:pPr>
            <w:r>
              <w:rPr>
                <w:b w:val="false"/>
                <w:bCs w:val="false"/>
                <w:color w:val="1F2937"/>
                <w:sz w:val="20"/>
                <w:szCs w:val="20"/>
              </w:rPr>
              <w:t xml:space="preserve">3/3</w:t>
            </w:r>
          </w:p>
        </w:tc>
      </w:tr>
    </w:tbl>
    <w:p>
      <w:pPr>
        <w:spacing w:after="150"/>
      </w:pPr>
    </w:p>
    <w:p>
      <w:pPr>
        <w:spacing w:after="150" w:line="276"/>
      </w:pPr>
      <w:r>
        <w:rPr>
          <w:color w:val="1F2937"/>
          <w:sz w:val="21"/>
          <w:szCs w:val="21"/>
        </w:rPr>
        <w:t xml:space="preserve">Beyond the raw scores, fixing the logo and render-blocking chain should produce a Mobile experience that is functionally usable within 2–3 seconds instead of 8–24 seconds — a change large enough to materially affect bounce rate, session duration, and ultimately loan-comparison conversion rate, given how disproportionately mobile users are affected by Core Web Vitals thresholds in Google Search ranking.</w:t>
      </w:r>
    </w:p>
    <w:p>
      <w:r>
        <w:br w:type="page"/>
      </w:r>
    </w:p>
    <w:p>
      <w:pPr>
        <w:pStyle w:val="Heading1"/>
        <w:pBdr>
          <w:bottom w:val="single" w:color="2563EB" w:sz="8" w:space="4"/>
        </w:pBdr>
        <w:spacing w:after="200" w:before="400"/>
      </w:pPr>
      <w:r>
        <w:rPr>
          <w:b/>
          <w:bCs/>
          <w:color w:val="1F2937"/>
          <w:sz w:val="32"/>
          <w:szCs w:val="32"/>
        </w:rPr>
        <w:t xml:space="preserve">9. Conclusion</w:t>
      </w:r>
    </w:p>
    <w:p>
      <w:pPr>
        <w:spacing w:after="150" w:line="276"/>
      </w:pPr>
      <w:r>
        <w:rPr>
          <w:color w:val="1F2937"/>
          <w:sz w:val="21"/>
          <w:szCs w:val="21"/>
        </w:rPr>
        <w:t xml:space="preserve">happirate.com has a strong foundation — perfect SEO, solid Best Practices, and a functionally stable, low-CLS layout — but its Performance score is being held back almost entirely by one oversized image and a chain of render-blocking, partially broken first-party scripts. The console errors indicating first-party JS is being served as HTML deserve immediate engineering attention, since they may be silently breaking the contact form and other interactive components in production, independent of any performance impact.</w:t>
      </w:r>
    </w:p>
    <w:p>
      <w:pPr>
        <w:spacing w:after="150" w:line="276"/>
      </w:pPr>
      <w:r>
        <w:rPr>
          <w:color w:val="1F2937"/>
          <w:sz w:val="21"/>
          <w:szCs w:val="21"/>
        </w:rPr>
        <w:t xml:space="preserve">The recommended sequence is: (1) fix the broken script delivery and compress/resize the logo this week, (2) defer non-critical render-blocking assets and trim unused JavaScript within the current sprint, and (3) close out the remaining accessibility, security-header, and agentic-browsing items over the current quarter. Given the site's stack (Next.js is already used elsewhere in the broader HappiRate/StackML tooling context), most of these fixes map directly onto built-in Next.js 15 primitives (next/image, next/font, next/dynamic, automatic code splitting), meaning the engineering cost to resolve the Critical and High priority items is comparatively low relative to the performance and conversion upside.</w:t>
      </w:r>
    </w:p>
    <w:p>
      <w:pPr>
        <w:spacing w:after="150" w:line="276"/>
      </w:pPr>
      <w:r>
        <w:rPr>
          <w:i/>
          <w:iCs/>
          <w:color w:val="6B7280"/>
          <w:sz w:val="21"/>
          <w:szCs w:val="21"/>
        </w:rPr>
        <w:t xml:space="preserve">This report should be reviewed with the Engineering Manager / Tech Lead to assign owners and sprint slots against the Priority Matrix in Section 7, with a recommended re-audit via PageSpeed Insights after the Critical items ship to confirm real-world impact.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HappiRate — Website Performance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2026-07-08T06:25:15.358Z</dcterms:created>
  <dcterms:modified xsi:type="dcterms:W3CDTF">2026-07-08T06:25:15.369Z</dcterms:modified>
</cp:coreProperties>
</file>

<file path=docProps/custom.xml><?xml version="1.0" encoding="utf-8"?>
<Properties xmlns="http://schemas.openxmlformats.org/officeDocument/2006/custom-properties" xmlns:vt="http://schemas.openxmlformats.org/officeDocument/2006/docPropsVTypes"/>
</file>