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24"/>
          <w:szCs w:val="24"/>
        </w:rPr>
        <w:t xml:space="preserve">Krzysztof Olbiński</w:t>
      </w:r>
    </w:p>
    <w:p>
      <w:pPr>
        <w:spacing w:after="0"/>
      </w:pPr>
      <w:r>
        <w:rPr>
          <w:color w:val="555555"/>
          <w:sz w:val="20"/>
          <w:szCs w:val="20"/>
        </w:rPr>
        <w:t xml:space="preserve">Założyciel · Homo Digital</w:t>
      </w:r>
    </w:p>
    <w:p>
      <w:pPr>
        <w:spacing w:after="0"/>
      </w:pPr>
      <w:r>
        <w:rPr>
          <w:color w:val="555555"/>
          <w:sz w:val="20"/>
          <w:szCs w:val="20"/>
        </w:rPr>
        <w:t xml:space="preserve">ul. 11 Listopada 12/1, 98-200 Sieradz</w:t>
      </w:r>
    </w:p>
    <w:p>
      <w:pPr>
        <w:spacing w:after="0"/>
      </w:pPr>
      <w:r>
        <w:rPr>
          <w:color w:val="555555"/>
          <w:sz w:val="20"/>
          <w:szCs w:val="20"/>
        </w:rPr>
        <w:t xml:space="preserve">olbinski@gmail.com · +48 503 520 004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homodigital.io</w:t>
      </w:r>
    </w:p>
    <w:p>
      <w:pPr>
        <w:spacing w:after="400"/>
        <w:jc w:val="right"/>
      </w:pPr>
      <w:r>
        <w:t xml:space="preserve">Sieradz, 10 marca 2026 r.</w:t>
      </w:r>
    </w:p>
    <w:p>
      <w:pPr>
        <w:spacing w:after="0"/>
      </w:pPr>
      <w:r>
        <w:rPr>
          <w:b/>
          <w:bCs/>
          <w:sz w:val="24"/>
          <w:szCs w:val="24"/>
        </w:rPr>
        <w:t xml:space="preserve">Ministerstwo Cyfryzacji</w:t>
      </w:r>
    </w:p>
    <w:p>
      <w:pPr>
        <w:spacing w:after="0"/>
      </w:pPr>
      <w:r>
        <w:t xml:space="preserve">ul. Królewska 27</w:t>
      </w:r>
    </w:p>
    <w:p>
      <w:pPr>
        <w:spacing w:after="400"/>
      </w:pPr>
      <w:r>
        <w:t xml:space="preserve">00-060 Warszawa</w:t>
      </w:r>
    </w:p>
    <w:p>
      <w:pPr>
        <w:spacing w:after="400"/>
      </w:pPr>
      <w:r>
        <w:rPr>
          <w:b/>
          <w:bCs/>
        </w:rPr>
        <w:t xml:space="preserve">Dotyczy: </w:t>
      </w:r>
      <w:r>
        <w:t xml:space="preserve">Propozycja wdrożenia suwerennej infrastruktury AI dla polskiego parlamentu i administracji rządowej</w:t>
      </w:r>
      <w:r>
        <w:rPr>
          <w:b/>
          <w:bCs/>
        </w:rPr>
        <w:t xml:space="preserve">
Nr sprawy KPRM: DWS.WNP.161.427.2026</w:t>
      </w:r>
    </w:p>
    <w:p>
      <w:pPr>
        <w:spacing w:after="200"/>
      </w:pPr>
      <w:r>
        <w:t xml:space="preserve">Szanowni Państwo,</w:t>
      </w:r>
    </w:p>
    <w:p>
      <w:pPr>
        <w:spacing w:after="200"/>
      </w:pPr>
      <w:r>
        <w:t xml:space="preserve">w nawiązaniu do mojego wystąpienia przekazanego przez Kancelarię Prezesa Rady Ministrów (pismo z dnia 4 marca 2026 r., nr DWS.WNP.161.427.2026), zwracam się z uszczegółowioną propozycją wdrożenia pilotażowego.</w:t>
      </w:r>
    </w:p>
    <w:p>
      <w:pPr>
        <w:spacing w:after="200"/>
      </w:pPr>
      <w:r>
        <w:t xml:space="preserve">Od momentu złożenia pierwotnego wniosku w lutym 2026 r. nastąpił istotny postęp w walidacji proponowanej architektury. Poniżej przedstawiam zaktualizowany stan prac oraz konkretną propozycję pilotażu.</w:t>
      </w:r>
    </w:p>
    <w:p>
      <w:pPr>
        <w:spacing w:before="300" w:after="200"/>
      </w:pPr>
      <w:r>
        <w:rPr>
          <w:b/>
          <w:bCs/>
          <w:sz w:val="26"/>
          <w:szCs w:val="26"/>
        </w:rPr>
        <w:t xml:space="preserve">Co proponujemy</w:t>
      </w:r>
    </w:p>
    <w:p>
      <w:pPr>
        <w:spacing w:after="200"/>
      </w:pPr>
      <w:r>
        <w:t xml:space="preserve">Dwa kierunki wdrożenia suwerennej infrastruktury AI:</w:t>
      </w:r>
    </w:p>
    <w:p>
      <w:pPr>
        <w:spacing w:after="120"/>
        <w:ind w:left="360"/>
      </w:pPr>
      <w:r>
        <w:rPr>
          <w:b/>
          <w:bCs/>
        </w:rPr>
        <w:t xml:space="preserve">I. Git dla legislacji</w:t>
      </w:r>
      <w:r>
        <w:t xml:space="preserve"> — wersjonowany proces tworzenia prawa oparty na architekturze repozytorium: pełna historia zmian każdego projektu ustawy, automatyczna detekcja kolizji między projektami różnych komisji, pamięć instytucjonalna zachowana między kadencjami. Bielik (polski LLM) jako asystent analizy legislacyjnej.</w:t>
      </w:r>
    </w:p>
    <w:p>
      <w:pPr>
        <w:spacing w:after="200"/>
        <w:ind w:left="360"/>
      </w:pPr>
      <w:r>
        <w:rPr>
          <w:b/>
          <w:bCs/>
        </w:rPr>
        <w:t xml:space="preserve">II. AI jako partner relacyjny dla władz RP</w:t>
      </w:r>
      <w:r>
        <w:t xml:space="preserve"> — każdy przedstawiciel władz otrzymuje instancję polskiego modelu językowego z ciągłością kontekstu pracy, historią głosowań i stanowiskami. Instancje AI mogą — za zgodą użytkowników — identyfikować zbieżności stanowisk między instytucjami i prezentować je obu stronom.</w:t>
      </w:r>
    </w:p>
    <w:p>
      <w:pPr>
        <w:spacing w:before="300" w:after="200"/>
      </w:pPr>
      <w:r>
        <w:rPr>
          <w:b/>
          <w:bCs/>
          <w:sz w:val="26"/>
          <w:szCs w:val="26"/>
        </w:rPr>
        <w:t xml:space="preserve">Konkretna propozycja pilotażu</w:t>
      </w:r>
    </w:p>
    <w:p>
      <w:pPr>
        <w:spacing w:after="120"/>
      </w:pPr>
      <w:r>
        <w:rPr>
          <w:b/>
          <w:bCs/>
        </w:rPr>
        <w:t xml:space="preserve">Zakres: </w:t>
      </w:r>
      <w:r>
        <w:t xml:space="preserve">jedna komisja sejmowa (np. Komisja Cyfryzacji, Innowacyjności i Nowoczesnych Technologii). Projekty ustaw w repozytorium z pełną historią zmian. Bielik jako asystent analizy legislacyjnej. Tesseract Protocol jako warstwa behawioralna zapewniająca nadzór nad interakcją z AI.</w:t>
      </w:r>
    </w:p>
    <w:p>
      <w:pPr>
        <w:spacing w:after="120"/>
      </w:pPr>
      <w:r>
        <w:rPr>
          <w:b/>
          <w:bCs/>
        </w:rPr>
        <w:t xml:space="preserve">Czas trwania: </w:t>
      </w:r>
      <w:r>
        <w:t xml:space="preserve">6 miesięcy (2 miesiące konfiguracji + 4 miesiące operacji).</w:t>
      </w:r>
    </w:p>
    <w:p>
      <w:pPr>
        <w:spacing w:after="120"/>
      </w:pPr>
      <w:r>
        <w:rPr>
          <w:b/>
          <w:bCs/>
        </w:rPr>
        <w:t xml:space="preserve">Instytucje: </w:t>
      </w:r>
      <w:r>
        <w:t xml:space="preserve">Ministerstwo Cyfryzacji (koordynacja), Kancelaria Sejmu (infrastruktura komisyjna), NASK (hosting suwerenny), SpeakLeash/OPI PIB (model Bielik), Homo Digital (Tesseract Protocol i architektura integracji).</w:t>
      </w:r>
    </w:p>
    <w:p>
      <w:pPr>
        <w:spacing w:after="200"/>
      </w:pPr>
      <w:r>
        <w:rPr>
          <w:b/>
          <w:bCs/>
        </w:rPr>
        <w:t xml:space="preserve">Mierzalne rezultaty: </w:t>
      </w:r>
      <w:r>
        <w:t xml:space="preserve">liczba wykrytych kolizji między projektami, czas analizy projektu ustawy (przed vs po wdrożeniu), ciągłość kontekstu między sesjami roboczymi, satysfakcja użytkowników.</w:t>
      </w:r>
    </w:p>
    <w:p>
      <w:pPr>
        <w:spacing w:before="300" w:after="200"/>
      </w:pPr>
      <w:r>
        <w:rPr>
          <w:b/>
          <w:bCs/>
          <w:sz w:val="26"/>
          <w:szCs w:val="26"/>
        </w:rPr>
        <w:t xml:space="preserve">Aktualny stan walidacji architektury</w:t>
      </w:r>
    </w:p>
    <w:p>
      <w:pPr>
        <w:spacing w:after="120"/>
        <w:ind w:left="360"/>
      </w:pPr>
      <w:r>
        <w:t xml:space="preserve">Tesseract Protocol v2.2.2 — otwarty framework behawioralny testowany 12 miesięcy na czterech platformach LLM (Claude, GPT-4, Gemini, Bielik). Licencja CC BY-NC-SA 4.0.</w:t>
      </w:r>
    </w:p>
    <w:p>
      <w:pPr>
        <w:spacing w:after="120"/>
        <w:ind w:left="360"/>
      </w:pPr>
      <w:r>
        <w:t xml:space="preserve">Wspólny dokument integracyjny (v1.3) z partnerem budującym warstwę runtime authority — pipeline governance, signal schema, diagramy architektury, mapowanie na EU AI Act Articles 9, 13 i 14.</w:t>
      </w:r>
    </w:p>
    <w:p>
      <w:pPr>
        <w:spacing w:after="120"/>
        <w:ind w:left="360"/>
      </w:pPr>
      <w:r>
        <w:t xml:space="preserve">Dwa scenariusze walidacyjne (NHS discharge decision, NHS medication change) z pełnym signal flow i authority resolution. Pressure test zaplanowany.</w:t>
      </w:r>
    </w:p>
    <w:p>
      <w:pPr>
        <w:spacing w:after="200"/>
        <w:ind w:left="360"/>
      </w:pPr>
      <w:r>
        <w:t xml:space="preserve">Współpraca z ekspertem EU AI Act w zakresie regulatory compliance, conformity assessment i mapowania provider vs deployer obligations. Sesja robocza zaplanowana na marzec 2026.</w:t>
      </w:r>
    </w:p>
    <w:p>
      <w:pPr>
        <w:spacing w:before="300" w:after="200"/>
      </w:pPr>
      <w:r>
        <w:rPr>
          <w:b/>
          <w:bCs/>
          <w:sz w:val="26"/>
          <w:szCs w:val="26"/>
        </w:rPr>
        <w:t xml:space="preserve">Zgodność regulacyjna</w:t>
      </w:r>
    </w:p>
    <w:p>
      <w:pPr>
        <w:spacing w:after="200"/>
      </w:pPr>
      <w:r>
        <w:t xml:space="preserve">Architektura została zaprojektowana z uwzględnieniem wymogów EU AI Act od pierwszego dnia. Warstwa behawioralna adresuje Art. 14 (nadzór ludzki, przeciwdziałanie automation bias). Warstwa autoryzacji adresuje Art. 9 (zarządzanie ryzykiem). Warstwa traceability adresuje Art. 13 (transparentność i auditowalność). Całość uwzględnia również RODO, Krajowe Ramy Interoperacyjności oraz wymogi ISO 42001.</w:t>
      </w:r>
    </w:p>
    <w:p>
      <w:pPr>
        <w:spacing w:before="300" w:after="200"/>
      </w:pPr>
      <w:r>
        <w:rPr>
          <w:b/>
          <w:bCs/>
          <w:sz w:val="26"/>
          <w:szCs w:val="26"/>
        </w:rPr>
        <w:t xml:space="preserve">Szczegółowa dokumentacja</w:t>
      </w:r>
    </w:p>
    <w:p>
      <w:pPr>
        <w:spacing w:after="200"/>
      </w:pPr>
      <w:r>
        <w:t xml:space="preserve">Pełna dokumentacja propozycji, wraz z opisem architektury, planem pilotażu, mapowaniem na AI Act i aktualnym statusem prac, jest dostępna pod adresem: </w:t>
      </w:r>
      <w:r>
        <w:rPr>
          <w:b/>
          <w:bCs/>
        </w:rPr>
        <w:t xml:space="preserve">homodigital.io/rp</w:t>
      </w:r>
    </w:p>
    <w:p>
      <w:pPr>
        <w:spacing w:before="300" w:after="200"/>
      </w:pPr>
      <w:r>
        <w:rPr>
          <w:b/>
          <w:bCs/>
          <w:sz w:val="26"/>
          <w:szCs w:val="26"/>
        </w:rPr>
        <w:t xml:space="preserve">Prośba</w:t>
      </w:r>
    </w:p>
    <w:p>
      <w:pPr>
        <w:spacing w:after="200"/>
      </w:pPr>
      <w:r>
        <w:t xml:space="preserve">Zwracam się z prośbą o rozpatrzenie możliwości wdrożenia opisanego pilotażu. Jestem do dyspozycji w celu prezentacji szczegółów — osobiście w Warszawie, online lub w formie pisemnego opracowania.</w:t>
      </w:r>
    </w:p>
    <w:p>
      <w:pPr>
        <w:spacing w:after="200"/>
      </w:pPr>
      <w:r>
        <w:t xml:space="preserve">Protokół behawioralny (Tesseract Protocol) jest działający i testowalny natychmiast na dowolnej platformie LLM. Demonstracja w czasie rzeczywistym jest możliwa w dowolnym terminie.</w:t>
      </w:r>
    </w:p>
    <w:p>
      <w:pPr>
        <w:pBdr>
          <w:bottom w:val="single" w:color="CCCCCC" w:sz="1" w:space="8"/>
        </w:pBdr>
        <w:spacing w:before="400" w:after="200"/>
      </w:pPr>
    </w:p>
    <w:p>
      <w:pPr>
        <w:spacing w:after="0"/>
      </w:pPr>
      <w:r>
        <w:t xml:space="preserve">Z wyrazami szacunku,</w:t>
      </w:r>
    </w:p>
    <w:p>
      <w:pPr>
        <w:spacing w:before="400" w:after="0"/>
      </w:pPr>
      <w:r>
        <w:rPr>
          <w:b/>
          <w:bCs/>
        </w:rPr>
        <w:t xml:space="preserve">Krzysztof Olbiński</w:t>
      </w:r>
    </w:p>
    <w:p>
      <w:pPr>
        <w:pBdr>
          <w:bottom w:val="single" w:color="CCCCCC" w:sz="1" w:space="8"/>
        </w:pBdr>
        <w:spacing w:before="500" w:after="200"/>
      </w:pP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Do wiadomości:</w:t>
      </w:r>
    </w:p>
    <w:p>
      <w:pPr>
        <w:spacing w:after="40"/>
        <w:ind w:left="360"/>
      </w:pPr>
      <w:r>
        <w:rPr>
          <w:color w:val="555555"/>
          <w:sz w:val="20"/>
          <w:szCs w:val="20"/>
        </w:rPr>
        <w:t xml:space="preserve">Kancelaria Prezesa Rady Ministrów, Al. Ujazdowskie 1/3, 00-583 Warszawa</w:t>
      </w:r>
    </w:p>
    <w:p>
      <w:pPr>
        <w:spacing w:after="200"/>
        <w:ind w:left="360"/>
      </w:pPr>
      <w:r>
        <w:rPr>
          <w:color w:val="555555"/>
          <w:sz w:val="20"/>
          <w:szCs w:val="20"/>
        </w:rPr>
        <w:t xml:space="preserve">Kancelaria Prezydenta Rzeczypospolitej Polskiej, ul. Wiejska 10, 00-902 Warszawa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2026-03-10T17:35:24.287Z</dcterms:created>
  <dcterms:modified xsi:type="dcterms:W3CDTF">2026-03-10T17:35:24.287Z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