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5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PROJEKT LISTU INTENCYJNEGO</w:t>
      </w:r>
    </w:p>
    <w:p>
      <w:pPr>
        <w:spacing w:after="260" w:before="0" w:line="252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Propozycja treści do dowolnej zmiany lub odrzucenia przez Ministerstwo Cyfryzacji.</w:t>
      </w:r>
    </w:p>
    <w:p>
      <w:pPr>
        <w:spacing w:after="24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[nagłówek Ministerstwa Cyfryzacji]</w:t>
      </w:r>
    </w:p>
    <w:p>
      <w:pPr>
        <w:spacing w:after="0" w:before="0" w:line="252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Warszawa, dnia ..........</w:t>
      </w:r>
    </w:p>
    <w:p>
      <w:pPr>
        <w:spacing w:after="280" w:before="0" w:line="252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Znak sprawy: ..........</w:t>
      </w:r>
    </w:p>
    <w:p>
      <w:pPr>
        <w:spacing w:after="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Pan Krzysztof Olbiński</w:t>
      </w:r>
    </w:p>
    <w:p>
      <w:pPr>
        <w:spacing w:after="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ul. 11 Listopada 12/1</w:t>
      </w:r>
    </w:p>
    <w:p>
      <w:pPr>
        <w:spacing w:after="32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98-200 Sieradz</w:t>
      </w:r>
    </w:p>
    <w:p>
      <w:pPr>
        <w:spacing w:after="300" w:before="0" w:line="25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LIST INTENCYJNY</w:t>
      </w:r>
    </w:p>
    <w:p>
      <w:pPr>
        <w:spacing w:after="16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Ministerstwo Cyfryzacji zapoznało się z przedstawioną koncepcją Nagrody Konstela - cyklicznej nagrody przyznawanej osobom prowadzącym pogłębione rozmowy z modelami sztucznej inteligencji, wraz z towarzyszącą jej antologią publikowaną nieodpłatnie w internecie.</w:t>
      </w:r>
    </w:p>
    <w:p>
      <w:pPr>
        <w:spacing w:after="16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Ministerstwo uznaje tematykę inicjatywy za wpisującą się w obszar rozwoju kompetencji cyfrowych, w szczególności w zakresie świadomego i krytycznego korzystania z narzędzi sztucznej inteligencji, oraz dostrzega wartość edukacyjną udostępnianych bezpłatnie materiałów źródłowych w języku polskim.</w:t>
      </w:r>
    </w:p>
    <w:p>
      <w:pPr>
        <w:spacing w:after="16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Ewentualne objęcie uroczystości rozstrzygnięcia pierwszej edycji Nagrody patronatem honorowym Ministra Cyfryzacji wymaga odrębnego wniosku, złożonego w formie elektronicznej nie później niż 8 tygodni przed wydarzeniem, zgodnie z trybem określonym w Regulaminie przyznawania patronatów Ministra Cyfryzacji. Niniejsze pismo wskazuje tę ścieżkę i nie zawiera rozstrzygnięcia co do wniosku, który zostanie oceniony na zasadach ogólnych.</w:t>
      </w:r>
    </w:p>
    <w:p>
      <w:pPr>
        <w:spacing w:after="16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Niniejsze pismo nie stanowi przyznania patronatu, zobowiązania finansowego ani zobowiązania do podjęcia innych działań po stronie Ministerstwa Cyfryzacji.</w:t>
      </w:r>
    </w:p>
    <w:p>
      <w:pPr>
        <w:spacing w:after="440" w:before="0" w:line="252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Adresat może posługiwać się niniejszym pismem w kontaktach z potencjalnymi partnerami i fundatorami Nagrody oraz publikować jego treść w całości, bez cytowania fragmentów w oderwaniu od pozostałych postanowień.</w:t>
      </w:r>
    </w:p>
    <w:p>
      <w:pPr>
        <w:spacing w:after="460" w:before="0" w:line="252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(pieczęć urzędowa)</w:t>
      </w:r>
    </w:p>
    <w:p>
      <w:pPr>
        <w:spacing w:after="0" w:before="0" w:line="252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</w:t>
      </w:r>
    </w:p>
    <w:p>
      <w:pPr>
        <w:spacing w:after="360" w:before="0" w:line="252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podpis, imię i nazwisko, stanowisko</w:t>
      </w:r>
    </w:p>
    <w:p>
      <w:pPr>
        <w:spacing w:after="160" w:before="0" w:line="252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Pismo może zostać opatrzone kwalifikowanym podpisem elektronicznym zamiast podpisu odręcznego i pieczęci.</w:t>
      </w:r>
    </w:p>
    <w:sectPr>
      <w:pgSz w:w="11906" w:h="16838" w:orient="portrait"/>
      <w:pgMar w:top="1021" w:right="1134" w:bottom="102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2026-10-20T14:14:45.407Z</dcterms:created>
  <dcterms:modified xsi:type="dcterms:W3CDTF">2026-10-20T14:14:45.407Z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